
<file path=[Content_Types].xml><?xml version="1.0" encoding="utf-8"?>
<Types xmlns="http://schemas.openxmlformats.org/package/2006/content-types">
  <Default Extension="xml" ContentType="application/xml"/>
  <Default Extension="xlsx" ContentType="application/vnd.openxmlformats-officedocument.spreadsheetml.sheet"/>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left"/>
        <w:rPr>
          <w:rFonts w:ascii="方正小标宋简体" w:hAnsi="宋体" w:eastAsia="方正小标宋简体"/>
          <w:sz w:val="28"/>
          <w:szCs w:val="28"/>
        </w:rPr>
      </w:pPr>
      <w:bookmarkStart w:id="0" w:name="_Toc15306267"/>
    </w:p>
    <w:p>
      <w:pPr>
        <w:spacing w:line="600" w:lineRule="exact"/>
        <w:jc w:val="left"/>
        <w:rPr>
          <w:rFonts w:ascii="方正小标宋简体" w:hAnsi="宋体" w:eastAsia="方正小标宋简体"/>
          <w:szCs w:val="21"/>
        </w:rPr>
      </w:pPr>
    </w:p>
    <w:p>
      <w:pPr>
        <w:spacing w:line="600" w:lineRule="exact"/>
        <w:jc w:val="center"/>
        <w:rPr>
          <w:rFonts w:ascii="方正小标宋简体" w:hAnsi="宋体" w:eastAsia="方正小标宋简体"/>
          <w:sz w:val="72"/>
          <w:szCs w:val="72"/>
        </w:rPr>
      </w:pPr>
    </w:p>
    <w:p>
      <w:pPr>
        <w:spacing w:line="600" w:lineRule="exact"/>
        <w:jc w:val="center"/>
        <w:rPr>
          <w:rFonts w:ascii="方正小标宋简体" w:hAnsi="宋体" w:eastAsia="方正小标宋简体"/>
          <w:sz w:val="72"/>
          <w:szCs w:val="72"/>
        </w:rPr>
      </w:pPr>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1" w:name="_Toc15396597"/>
      <w:bookmarkStart w:id="2" w:name="_Toc15377425"/>
      <w:bookmarkStart w:id="3" w:name="_Toc15378441"/>
      <w:bookmarkStart w:id="4" w:name="_Toc5706"/>
      <w:bookmarkStart w:id="5" w:name="_Toc15396475"/>
      <w:bookmarkStart w:id="6" w:name="_Toc15377193"/>
      <w:r>
        <w:rPr>
          <w:rFonts w:hint="eastAsia" w:ascii="方正小标宋简体" w:hAnsi="方正小标宋简体" w:eastAsia="方正小标宋简体" w:cs="方正小标宋简体"/>
          <w:sz w:val="72"/>
          <w:szCs w:val="72"/>
        </w:rPr>
        <w:t>2022年度</w:t>
      </w:r>
      <w:bookmarkEnd w:id="1"/>
      <w:bookmarkEnd w:id="2"/>
      <w:bookmarkEnd w:id="3"/>
      <w:bookmarkEnd w:id="4"/>
      <w:bookmarkEnd w:id="5"/>
      <w:bookmarkEnd w:id="6"/>
    </w:p>
    <w:p>
      <w:pPr>
        <w:adjustRightInd w:val="0"/>
        <w:snapToGrid w:val="0"/>
        <w:spacing w:line="360" w:lineRule="auto"/>
        <w:jc w:val="center"/>
        <w:outlineLvl w:val="0"/>
        <w:rPr>
          <w:rFonts w:ascii="方正小标宋简体" w:hAnsi="方正小标宋简体" w:eastAsia="方正小标宋简体" w:cs="方正小标宋简体"/>
          <w:sz w:val="72"/>
          <w:szCs w:val="72"/>
        </w:rPr>
      </w:pPr>
      <w:bookmarkStart w:id="7" w:name="_Toc15377426"/>
      <w:bookmarkStart w:id="8" w:name="_Toc15378442"/>
      <w:bookmarkStart w:id="9" w:name="_Toc15396598"/>
      <w:bookmarkStart w:id="10" w:name="_Toc15396476"/>
      <w:bookmarkStart w:id="11" w:name="_Toc15377194"/>
      <w:bookmarkStart w:id="12" w:name="_Toc23817"/>
      <w:r>
        <w:rPr>
          <w:rFonts w:hint="eastAsia" w:ascii="方正小标宋简体" w:hAnsi="方正小标宋简体" w:eastAsia="方正小标宋简体" w:cs="方正小标宋简体"/>
          <w:spacing w:val="-20"/>
          <w:sz w:val="72"/>
          <w:szCs w:val="72"/>
        </w:rPr>
        <w:t>四川省直属机关工会委员</w:t>
      </w:r>
      <w:r>
        <w:rPr>
          <w:rFonts w:hint="eastAsia" w:ascii="方正小标宋简体" w:hAnsi="方正小标宋简体" w:eastAsia="方正小标宋简体" w:cs="方正小标宋简体"/>
          <w:sz w:val="72"/>
          <w:szCs w:val="72"/>
        </w:rPr>
        <w:t>会</w:t>
      </w:r>
      <w:bookmarkEnd w:id="0"/>
      <w:bookmarkStart w:id="13" w:name="_Toc15306268"/>
      <w:r>
        <w:rPr>
          <w:rFonts w:hint="eastAsia" w:ascii="方正小标宋简体" w:hAnsi="方正小标宋简体" w:eastAsia="方正小标宋简体" w:cs="方正小标宋简体"/>
          <w:sz w:val="72"/>
          <w:szCs w:val="72"/>
        </w:rPr>
        <w:t>单位决算</w:t>
      </w:r>
      <w:bookmarkEnd w:id="7"/>
      <w:bookmarkEnd w:id="8"/>
      <w:bookmarkEnd w:id="9"/>
      <w:bookmarkEnd w:id="10"/>
      <w:bookmarkEnd w:id="11"/>
      <w:bookmarkEnd w:id="12"/>
      <w:bookmarkEnd w:id="13"/>
    </w:p>
    <w:p>
      <w:pPr>
        <w:adjustRightInd w:val="0"/>
        <w:snapToGrid w:val="0"/>
        <w:spacing w:line="360" w:lineRule="auto"/>
        <w:jc w:val="center"/>
        <w:rPr>
          <w:rFonts w:ascii="方正小标宋简体" w:hAnsi="宋体" w:eastAsia="方正小标宋简体"/>
          <w:sz w:val="52"/>
          <w:szCs w:val="52"/>
        </w:rPr>
      </w:pPr>
    </w:p>
    <w:p>
      <w:pPr>
        <w:widowControl/>
        <w:jc w:val="center"/>
        <w:rPr>
          <w:rFonts w:ascii="黑体" w:hAnsi="黑体" w:eastAsia="黑体"/>
          <w:sz w:val="48"/>
          <w:szCs w:val="48"/>
        </w:rPr>
        <w:sectPr>
          <w:headerReference r:id="rId3" w:type="default"/>
          <w:footerReference r:id="rId5" w:type="default"/>
          <w:headerReference r:id="rId4" w:type="even"/>
          <w:footerReference r:id="rId6" w:type="even"/>
          <w:pgSz w:w="11906" w:h="16838"/>
          <w:pgMar w:top="1440" w:right="1800" w:bottom="1440" w:left="1800" w:header="851" w:footer="992" w:gutter="0"/>
          <w:pgNumType w:fmt="decimal" w:start="1"/>
          <w:cols w:space="425" w:num="1"/>
          <w:titlePg/>
          <w:docGrid w:type="lines" w:linePitch="312" w:charSpace="0"/>
        </w:sectPr>
      </w:pPr>
    </w:p>
    <w:p>
      <w:pPr>
        <w:widowControl/>
        <w:jc w:val="center"/>
        <w:rPr>
          <w:rFonts w:ascii="黑体" w:hAnsi="黑体" w:eastAsia="黑体"/>
          <w:sz w:val="48"/>
          <w:szCs w:val="48"/>
        </w:rPr>
      </w:pPr>
      <w:r>
        <w:rPr>
          <w:rFonts w:hint="eastAsia" w:ascii="黑体" w:hAnsi="黑体" w:eastAsia="黑体"/>
          <w:sz w:val="48"/>
          <w:szCs w:val="48"/>
        </w:rPr>
        <w:t>目录</w:t>
      </w:r>
    </w:p>
    <w:p>
      <w:pPr>
        <w:widowControl/>
        <w:jc w:val="center"/>
        <w:rPr>
          <w:rFonts w:ascii="黑体" w:hAnsi="黑体" w:eastAsia="黑体" w:cstheme="minorBidi"/>
          <w:sz w:val="28"/>
          <w:szCs w:val="28"/>
        </w:rPr>
      </w:pPr>
    </w:p>
    <w:p>
      <w:pPr>
        <w:pStyle w:val="10"/>
      </w:pPr>
      <w:r>
        <w:rPr>
          <w:rFonts w:hint="eastAsia"/>
        </w:rPr>
        <w:t>公开时间：2023年9月6日</w:t>
      </w:r>
    </w:p>
    <w:p/>
    <w:sdt>
      <w:sdtPr>
        <w:rPr>
          <w:rFonts w:ascii="宋体" w:hAnsi="宋体"/>
        </w:rPr>
        <w:id w:val="147472318"/>
        <w:docPartObj>
          <w:docPartGallery w:val="Table of Contents"/>
          <w:docPartUnique/>
        </w:docPartObj>
      </w:sdtPr>
      <w:sdtEndPr>
        <w:rPr>
          <w:rFonts w:ascii="宋体" w:hAnsi="宋体"/>
          <w:b/>
        </w:rPr>
      </w:sdtEndPr>
      <w:sdtContent>
        <w:p>
          <w:pPr>
            <w:jc w:val="center"/>
          </w:pPr>
        </w:p>
        <w:p>
          <w:pPr>
            <w:pStyle w:val="31"/>
            <w:tabs>
              <w:tab w:val="right" w:leader="dot" w:pos="8306"/>
            </w:tabs>
            <w:rPr>
              <w:b/>
            </w:rPr>
          </w:pPr>
          <w:r>
            <w:fldChar w:fldCharType="begin"/>
          </w:r>
          <w:r>
            <w:instrText xml:space="preserve">TOC \o "1-2" \h \u </w:instrText>
          </w:r>
          <w:r>
            <w:fldChar w:fldCharType="separate"/>
          </w:r>
          <w:r>
            <w:fldChar w:fldCharType="begin"/>
          </w:r>
          <w:r>
            <w:instrText xml:space="preserve"> HYPERLINK \l "_Toc11000" </w:instrText>
          </w:r>
          <w:r>
            <w:fldChar w:fldCharType="separate"/>
          </w:r>
          <w:r>
            <w:rPr>
              <w:rFonts w:hint="eastAsia" w:ascii="仿宋" w:hAnsi="仿宋" w:eastAsia="仿宋"/>
              <w:kern w:val="2"/>
              <w:sz w:val="24"/>
              <w:szCs w:val="28"/>
            </w:rPr>
            <w:t>第一部分 单位概况</w:t>
          </w:r>
          <w:r>
            <w:rPr>
              <w:rFonts w:hint="eastAsia"/>
              <w:kern w:val="2"/>
              <w:sz w:val="24"/>
              <w:szCs w:val="24"/>
            </w:rPr>
            <w:tab/>
          </w:r>
          <w:r>
            <w:rPr>
              <w:rFonts w:hint="eastAsia"/>
              <w:kern w:val="2"/>
              <w:sz w:val="24"/>
              <w:szCs w:val="24"/>
            </w:rPr>
            <w:fldChar w:fldCharType="begin"/>
          </w:r>
          <w:r>
            <w:rPr>
              <w:rFonts w:hint="eastAsia"/>
              <w:kern w:val="2"/>
              <w:sz w:val="24"/>
              <w:szCs w:val="24"/>
            </w:rPr>
            <w:instrText xml:space="preserve"> PAGEREF _Toc11000 \h </w:instrText>
          </w:r>
          <w:r>
            <w:rPr>
              <w:rFonts w:hint="eastAsia"/>
              <w:kern w:val="2"/>
              <w:sz w:val="24"/>
              <w:szCs w:val="24"/>
            </w:rPr>
            <w:fldChar w:fldCharType="separate"/>
          </w:r>
          <w:r>
            <w:rPr>
              <w:rFonts w:hint="eastAsia"/>
              <w:kern w:val="2"/>
              <w:sz w:val="24"/>
              <w:szCs w:val="24"/>
            </w:rPr>
            <w:t>4</w:t>
          </w:r>
          <w:r>
            <w:rPr>
              <w:rFonts w:hint="eastAsia"/>
              <w:kern w:val="2"/>
              <w:sz w:val="24"/>
              <w:szCs w:val="24"/>
            </w:rPr>
            <w:fldChar w:fldCharType="end"/>
          </w:r>
          <w:r>
            <w:rPr>
              <w:rFonts w:hint="eastAsia"/>
              <w:kern w:val="2"/>
              <w:sz w:val="24"/>
              <w:szCs w:val="24"/>
            </w:rPr>
            <w:fldChar w:fldCharType="end"/>
          </w:r>
        </w:p>
        <w:p>
          <w:pPr>
            <w:pStyle w:val="11"/>
            <w:adjustRightInd w:val="0"/>
            <w:snapToGrid w:val="0"/>
            <w:spacing w:line="440" w:lineRule="exact"/>
            <w:jc w:val="left"/>
            <w:rPr>
              <w:sz w:val="24"/>
            </w:rPr>
          </w:pPr>
          <w:r>
            <w:fldChar w:fldCharType="begin"/>
          </w:r>
          <w:r>
            <w:instrText xml:space="preserve"> HYPERLINK \l "_Toc14802" </w:instrText>
          </w:r>
          <w:r>
            <w:fldChar w:fldCharType="separate"/>
          </w:r>
          <w:r>
            <w:rPr>
              <w:rFonts w:hint="eastAsia"/>
              <w:sz w:val="24"/>
            </w:rPr>
            <w:t>一、 主要职责</w:t>
          </w:r>
          <w:r>
            <w:rPr>
              <w:rFonts w:hint="eastAsia"/>
              <w:sz w:val="24"/>
            </w:rPr>
            <w:tab/>
          </w:r>
          <w:r>
            <w:rPr>
              <w:rFonts w:hint="eastAsia"/>
              <w:sz w:val="24"/>
            </w:rPr>
            <w:fldChar w:fldCharType="begin"/>
          </w:r>
          <w:r>
            <w:rPr>
              <w:rFonts w:hint="eastAsia"/>
              <w:sz w:val="24"/>
            </w:rPr>
            <w:instrText xml:space="preserve"> PAGEREF _Toc14802 \h </w:instrText>
          </w:r>
          <w:r>
            <w:rPr>
              <w:rFonts w:hint="eastAsia"/>
              <w:sz w:val="24"/>
            </w:rPr>
            <w:fldChar w:fldCharType="separate"/>
          </w:r>
          <w:r>
            <w:rPr>
              <w:rFonts w:hint="eastAsia"/>
              <w:sz w:val="24"/>
            </w:rPr>
            <w:t>4</w:t>
          </w:r>
          <w:r>
            <w:rPr>
              <w:rFonts w:hint="eastAsia"/>
              <w:sz w:val="24"/>
            </w:rPr>
            <w:fldChar w:fldCharType="end"/>
          </w:r>
          <w:r>
            <w:rPr>
              <w:rFonts w:hint="eastAsia"/>
              <w:sz w:val="24"/>
            </w:rPr>
            <w:fldChar w:fldCharType="end"/>
          </w:r>
        </w:p>
        <w:p>
          <w:pPr>
            <w:pStyle w:val="11"/>
            <w:adjustRightInd w:val="0"/>
            <w:snapToGrid w:val="0"/>
            <w:spacing w:line="440" w:lineRule="exact"/>
            <w:jc w:val="left"/>
          </w:pPr>
          <w:r>
            <w:fldChar w:fldCharType="begin"/>
          </w:r>
          <w:r>
            <w:instrText xml:space="preserve"> HYPERLINK \l "_Toc17860" </w:instrText>
          </w:r>
          <w:r>
            <w:fldChar w:fldCharType="separate"/>
          </w:r>
          <w:r>
            <w:rPr>
              <w:rFonts w:hint="eastAsia"/>
              <w:sz w:val="24"/>
            </w:rPr>
            <w:t>二、 机构设置</w:t>
          </w:r>
          <w:r>
            <w:rPr>
              <w:rFonts w:hint="eastAsia"/>
              <w:sz w:val="24"/>
            </w:rPr>
            <w:tab/>
          </w:r>
          <w:r>
            <w:rPr>
              <w:rFonts w:hint="eastAsia"/>
              <w:sz w:val="24"/>
            </w:rPr>
            <w:fldChar w:fldCharType="begin"/>
          </w:r>
          <w:r>
            <w:rPr>
              <w:rFonts w:hint="eastAsia"/>
              <w:sz w:val="24"/>
            </w:rPr>
            <w:instrText xml:space="preserve"> PAGEREF _Toc17860 \h </w:instrText>
          </w:r>
          <w:r>
            <w:rPr>
              <w:rFonts w:hint="eastAsia"/>
              <w:sz w:val="24"/>
            </w:rPr>
            <w:fldChar w:fldCharType="separate"/>
          </w:r>
          <w:r>
            <w:rPr>
              <w:rFonts w:hint="eastAsia"/>
              <w:sz w:val="24"/>
            </w:rPr>
            <w:t>6</w:t>
          </w:r>
          <w:r>
            <w:rPr>
              <w:rFonts w:hint="eastAsia"/>
              <w:sz w:val="24"/>
            </w:rPr>
            <w:fldChar w:fldCharType="end"/>
          </w:r>
          <w:r>
            <w:rPr>
              <w:rFonts w:hint="eastAsia"/>
              <w:sz w:val="24"/>
            </w:rPr>
            <w:fldChar w:fldCharType="end"/>
          </w:r>
        </w:p>
        <w:p>
          <w:pPr>
            <w:pStyle w:val="31"/>
            <w:tabs>
              <w:tab w:val="right" w:leader="dot" w:pos="8306"/>
            </w:tabs>
            <w:rPr>
              <w:rFonts w:ascii="仿宋" w:hAnsi="仿宋" w:eastAsia="仿宋"/>
              <w:kern w:val="2"/>
              <w:sz w:val="24"/>
              <w:szCs w:val="28"/>
            </w:rPr>
          </w:pPr>
          <w:r>
            <w:fldChar w:fldCharType="begin"/>
          </w:r>
          <w:r>
            <w:instrText xml:space="preserve"> HYPERLINK \l "_Toc20769" </w:instrText>
          </w:r>
          <w:r>
            <w:fldChar w:fldCharType="separate"/>
          </w:r>
          <w:r>
            <w:rPr>
              <w:rFonts w:hint="eastAsia" w:ascii="仿宋" w:hAnsi="仿宋" w:eastAsia="仿宋"/>
              <w:kern w:val="2"/>
              <w:sz w:val="24"/>
              <w:szCs w:val="28"/>
            </w:rPr>
            <w:t>第二部分 2022年度单位决算情况说明</w:t>
          </w:r>
          <w:r>
            <w:rPr>
              <w:rFonts w:hint="eastAsia"/>
              <w:kern w:val="2"/>
              <w:sz w:val="24"/>
              <w:szCs w:val="24"/>
            </w:rPr>
            <w:tab/>
          </w:r>
          <w:r>
            <w:rPr>
              <w:rFonts w:hint="eastAsia"/>
              <w:kern w:val="2"/>
              <w:sz w:val="24"/>
              <w:szCs w:val="24"/>
            </w:rPr>
            <w:fldChar w:fldCharType="begin"/>
          </w:r>
          <w:r>
            <w:rPr>
              <w:rFonts w:hint="eastAsia"/>
              <w:kern w:val="2"/>
              <w:sz w:val="24"/>
              <w:szCs w:val="24"/>
            </w:rPr>
            <w:instrText xml:space="preserve"> PAGEREF _Toc20769 \h </w:instrText>
          </w:r>
          <w:r>
            <w:rPr>
              <w:rFonts w:hint="eastAsia"/>
              <w:kern w:val="2"/>
              <w:sz w:val="24"/>
              <w:szCs w:val="24"/>
            </w:rPr>
            <w:fldChar w:fldCharType="separate"/>
          </w:r>
          <w:r>
            <w:rPr>
              <w:rFonts w:hint="eastAsia"/>
              <w:kern w:val="2"/>
              <w:sz w:val="24"/>
              <w:szCs w:val="24"/>
            </w:rPr>
            <w:t>7</w:t>
          </w:r>
          <w:r>
            <w:rPr>
              <w:rFonts w:hint="eastAsia"/>
              <w:kern w:val="2"/>
              <w:sz w:val="24"/>
              <w:szCs w:val="24"/>
            </w:rPr>
            <w:fldChar w:fldCharType="end"/>
          </w:r>
          <w:r>
            <w:rPr>
              <w:rFonts w:hint="eastAsia"/>
              <w:kern w:val="2"/>
              <w:sz w:val="24"/>
              <w:szCs w:val="24"/>
            </w:rPr>
            <w:fldChar w:fldCharType="end"/>
          </w:r>
        </w:p>
        <w:p>
          <w:pPr>
            <w:pStyle w:val="11"/>
            <w:adjustRightInd w:val="0"/>
            <w:snapToGrid w:val="0"/>
            <w:spacing w:line="440" w:lineRule="exact"/>
            <w:jc w:val="left"/>
            <w:rPr>
              <w:sz w:val="24"/>
            </w:rPr>
          </w:pPr>
          <w:r>
            <w:fldChar w:fldCharType="begin"/>
          </w:r>
          <w:r>
            <w:instrText xml:space="preserve"> HYPERLINK \l "_Toc22363" </w:instrText>
          </w:r>
          <w:r>
            <w:fldChar w:fldCharType="separate"/>
          </w:r>
          <w:r>
            <w:rPr>
              <w:sz w:val="24"/>
            </w:rPr>
            <w:t xml:space="preserve">一、 </w:t>
          </w:r>
          <w:r>
            <w:rPr>
              <w:rFonts w:hint="eastAsia"/>
              <w:sz w:val="24"/>
            </w:rPr>
            <w:t>收入支出决算总体情况说明</w:t>
          </w:r>
          <w:r>
            <w:rPr>
              <w:rFonts w:hint="eastAsia"/>
              <w:sz w:val="24"/>
            </w:rPr>
            <w:tab/>
          </w:r>
          <w:r>
            <w:rPr>
              <w:rFonts w:hint="eastAsia"/>
              <w:sz w:val="24"/>
            </w:rPr>
            <w:fldChar w:fldCharType="begin"/>
          </w:r>
          <w:r>
            <w:rPr>
              <w:rFonts w:hint="eastAsia"/>
              <w:sz w:val="24"/>
            </w:rPr>
            <w:instrText xml:space="preserve"> PAGEREF _Toc22363 \h </w:instrText>
          </w:r>
          <w:r>
            <w:rPr>
              <w:rFonts w:hint="eastAsia"/>
              <w:sz w:val="24"/>
            </w:rPr>
            <w:fldChar w:fldCharType="separate"/>
          </w:r>
          <w:r>
            <w:rPr>
              <w:rFonts w:hint="eastAsia"/>
              <w:sz w:val="24"/>
            </w:rPr>
            <w:t>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"_Toc27113" </w:instrText>
          </w:r>
          <w:r>
            <w:fldChar w:fldCharType="separate"/>
          </w:r>
          <w:r>
            <w:rPr>
              <w:sz w:val="24"/>
            </w:rPr>
            <w:t xml:space="preserve">二、 </w:t>
          </w:r>
          <w:r>
            <w:rPr>
              <w:rFonts w:hint="eastAsia"/>
              <w:sz w:val="24"/>
            </w:rPr>
            <w:t>收入决算情况说明</w:t>
          </w:r>
          <w:r>
            <w:rPr>
              <w:rFonts w:hint="eastAsia"/>
              <w:sz w:val="24"/>
            </w:rPr>
            <w:tab/>
          </w:r>
          <w:r>
            <w:rPr>
              <w:rFonts w:hint="eastAsia"/>
              <w:sz w:val="24"/>
            </w:rPr>
            <w:fldChar w:fldCharType="begin"/>
          </w:r>
          <w:r>
            <w:rPr>
              <w:rFonts w:hint="eastAsia"/>
              <w:sz w:val="24"/>
            </w:rPr>
            <w:instrText xml:space="preserve"> PAGEREF _Toc27113 \h </w:instrText>
          </w:r>
          <w:r>
            <w:rPr>
              <w:rFonts w:hint="eastAsia"/>
              <w:sz w:val="24"/>
            </w:rPr>
            <w:fldChar w:fldCharType="separate"/>
          </w:r>
          <w:r>
            <w:rPr>
              <w:rFonts w:hint="eastAsia"/>
              <w:sz w:val="24"/>
            </w:rPr>
            <w:t>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"_Toc7214" </w:instrText>
          </w:r>
          <w:r>
            <w:fldChar w:fldCharType="separate"/>
          </w:r>
          <w:r>
            <w:rPr>
              <w:sz w:val="24"/>
            </w:rPr>
            <w:t xml:space="preserve">三、 </w:t>
          </w:r>
          <w:r>
            <w:rPr>
              <w:rFonts w:hint="eastAsia"/>
              <w:sz w:val="24"/>
            </w:rPr>
            <w:t>支出决算情况说明</w:t>
          </w:r>
          <w:r>
            <w:rPr>
              <w:rFonts w:hint="eastAsia"/>
              <w:sz w:val="24"/>
            </w:rPr>
            <w:tab/>
          </w:r>
          <w:r>
            <w:rPr>
              <w:rFonts w:hint="eastAsia"/>
              <w:sz w:val="24"/>
            </w:rPr>
            <w:fldChar w:fldCharType="begin"/>
          </w:r>
          <w:r>
            <w:rPr>
              <w:rFonts w:hint="eastAsia"/>
              <w:sz w:val="24"/>
            </w:rPr>
            <w:instrText xml:space="preserve"> PAGEREF _Toc7214 \h </w:instrText>
          </w:r>
          <w:r>
            <w:rPr>
              <w:rFonts w:hint="eastAsia"/>
              <w:sz w:val="24"/>
            </w:rPr>
            <w:fldChar w:fldCharType="separate"/>
          </w:r>
          <w:r>
            <w:rPr>
              <w:rFonts w:hint="eastAsia"/>
              <w:sz w:val="24"/>
            </w:rPr>
            <w:t>8</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"_Toc18000" </w:instrText>
          </w:r>
          <w:r>
            <w:fldChar w:fldCharType="separate"/>
          </w:r>
          <w:r>
            <w:rPr>
              <w:rFonts w:hint="eastAsia"/>
              <w:sz w:val="24"/>
            </w:rPr>
            <w:t>四、财政拨款收入支出决算总体情况说明</w:t>
          </w:r>
          <w:r>
            <w:rPr>
              <w:rFonts w:hint="eastAsia"/>
              <w:sz w:val="24"/>
            </w:rPr>
            <w:tab/>
          </w:r>
          <w:r>
            <w:rPr>
              <w:rFonts w:hint="eastAsia"/>
              <w:sz w:val="24"/>
            </w:rPr>
            <w:fldChar w:fldCharType="begin"/>
          </w:r>
          <w:r>
            <w:rPr>
              <w:rFonts w:hint="eastAsia"/>
              <w:sz w:val="24"/>
            </w:rPr>
            <w:instrText xml:space="preserve"> PAGEREF _Toc18000 \h </w:instrText>
          </w:r>
          <w:r>
            <w:rPr>
              <w:rFonts w:hint="eastAsia"/>
              <w:sz w:val="24"/>
            </w:rPr>
            <w:fldChar w:fldCharType="separate"/>
          </w:r>
          <w:r>
            <w:rPr>
              <w:rFonts w:hint="eastAsia"/>
              <w:sz w:val="24"/>
            </w:rPr>
            <w:t>8</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"_Toc26292" </w:instrText>
          </w:r>
          <w:r>
            <w:fldChar w:fldCharType="separate"/>
          </w:r>
          <w:r>
            <w:rPr>
              <w:rFonts w:hint="eastAsia"/>
              <w:sz w:val="24"/>
            </w:rPr>
            <w:t>五、一般公共预算财政拨款支出决算情况说明</w:t>
          </w:r>
          <w:r>
            <w:rPr>
              <w:rFonts w:hint="eastAsia"/>
              <w:sz w:val="24"/>
            </w:rPr>
            <w:tab/>
          </w:r>
          <w:r>
            <w:rPr>
              <w:rFonts w:hint="eastAsia"/>
              <w:sz w:val="24"/>
            </w:rPr>
            <w:fldChar w:fldCharType="begin"/>
          </w:r>
          <w:r>
            <w:rPr>
              <w:rFonts w:hint="eastAsia"/>
              <w:sz w:val="24"/>
            </w:rPr>
            <w:instrText xml:space="preserve"> PAGEREF _Toc26292 \h </w:instrText>
          </w:r>
          <w:r>
            <w:rPr>
              <w:rFonts w:hint="eastAsia"/>
              <w:sz w:val="24"/>
            </w:rPr>
            <w:fldChar w:fldCharType="separate"/>
          </w:r>
          <w:r>
            <w:rPr>
              <w:rFonts w:hint="eastAsia"/>
              <w:sz w:val="24"/>
            </w:rPr>
            <w:t>9</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"_Toc18656" </w:instrText>
          </w:r>
          <w:r>
            <w:fldChar w:fldCharType="separate"/>
          </w:r>
          <w:r>
            <w:rPr>
              <w:rFonts w:hint="eastAsia"/>
              <w:sz w:val="24"/>
            </w:rPr>
            <w:t>六、一般公共预算财政拨款基本支出决算情况说明</w:t>
          </w:r>
          <w:r>
            <w:rPr>
              <w:rFonts w:hint="eastAsia"/>
              <w:sz w:val="24"/>
            </w:rPr>
            <w:tab/>
          </w:r>
          <w:r>
            <w:rPr>
              <w:rFonts w:hint="eastAsia"/>
              <w:sz w:val="24"/>
            </w:rPr>
            <w:fldChar w:fldCharType="begin"/>
          </w:r>
          <w:r>
            <w:rPr>
              <w:rFonts w:hint="eastAsia"/>
              <w:sz w:val="24"/>
            </w:rPr>
            <w:instrText xml:space="preserve"> PAGEREF _Toc18656 \h </w:instrText>
          </w:r>
          <w:r>
            <w:rPr>
              <w:rFonts w:hint="eastAsia"/>
              <w:sz w:val="24"/>
            </w:rPr>
            <w:fldChar w:fldCharType="separate"/>
          </w:r>
          <w:r>
            <w:rPr>
              <w:rFonts w:hint="eastAsia"/>
              <w:sz w:val="24"/>
            </w:rPr>
            <w:t>11</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"_Toc10112" </w:instrText>
          </w:r>
          <w:r>
            <w:fldChar w:fldCharType="separate"/>
          </w:r>
          <w:r>
            <w:rPr>
              <w:rFonts w:hint="eastAsia"/>
              <w:sz w:val="24"/>
            </w:rPr>
            <w:t>七、财政拨款“三公”经费支出决算情况说明</w:t>
          </w:r>
          <w:r>
            <w:rPr>
              <w:rFonts w:hint="eastAsia"/>
              <w:sz w:val="24"/>
            </w:rPr>
            <w:tab/>
          </w:r>
          <w:r>
            <w:rPr>
              <w:rFonts w:hint="eastAsia"/>
              <w:sz w:val="24"/>
            </w:rPr>
            <w:fldChar w:fldCharType="begin"/>
          </w:r>
          <w:r>
            <w:rPr>
              <w:rFonts w:hint="eastAsia"/>
              <w:sz w:val="24"/>
            </w:rPr>
            <w:instrText xml:space="preserve"> PAGEREF _Toc10112 \h </w:instrText>
          </w:r>
          <w:r>
            <w:rPr>
              <w:rFonts w:hint="eastAsia"/>
              <w:sz w:val="24"/>
            </w:rPr>
            <w:fldChar w:fldCharType="separate"/>
          </w:r>
          <w:r>
            <w:rPr>
              <w:rFonts w:hint="eastAsia"/>
              <w:sz w:val="24"/>
            </w:rPr>
            <w:t>11</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"_Toc14664" </w:instrText>
          </w:r>
          <w:r>
            <w:fldChar w:fldCharType="separate"/>
          </w:r>
          <w:r>
            <w:rPr>
              <w:rFonts w:hint="eastAsia"/>
              <w:sz w:val="24"/>
            </w:rPr>
            <w:t>八、政府性基金预算支出决算情况说明</w:t>
          </w:r>
          <w:r>
            <w:rPr>
              <w:rFonts w:hint="eastAsia"/>
              <w:sz w:val="24"/>
            </w:rPr>
            <w:tab/>
          </w:r>
          <w:r>
            <w:rPr>
              <w:rFonts w:hint="eastAsia"/>
              <w:sz w:val="24"/>
            </w:rPr>
            <w:fldChar w:fldCharType="begin"/>
          </w:r>
          <w:r>
            <w:rPr>
              <w:rFonts w:hint="eastAsia"/>
              <w:sz w:val="24"/>
            </w:rPr>
            <w:instrText xml:space="preserve"> PAGEREF _Toc14664 \h </w:instrText>
          </w:r>
          <w:r>
            <w:rPr>
              <w:rFonts w:hint="eastAsia"/>
              <w:sz w:val="24"/>
            </w:rPr>
            <w:fldChar w:fldCharType="separate"/>
          </w:r>
          <w:r>
            <w:rPr>
              <w:rFonts w:hint="eastAsia"/>
              <w:sz w:val="24"/>
            </w:rPr>
            <w:t>12</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"_Toc2218" </w:instrText>
          </w:r>
          <w:r>
            <w:fldChar w:fldCharType="separate"/>
          </w:r>
          <w:r>
            <w:rPr>
              <w:rFonts w:hint="eastAsia"/>
              <w:sz w:val="24"/>
            </w:rPr>
            <w:t>九、 国有资本经营预算支出决算情况说明</w:t>
          </w:r>
          <w:r>
            <w:rPr>
              <w:rFonts w:hint="eastAsia"/>
              <w:sz w:val="24"/>
            </w:rPr>
            <w:tab/>
          </w:r>
          <w:r>
            <w:rPr>
              <w:rFonts w:hint="eastAsia"/>
              <w:sz w:val="24"/>
            </w:rPr>
            <w:fldChar w:fldCharType="begin"/>
          </w:r>
          <w:r>
            <w:rPr>
              <w:rFonts w:hint="eastAsia"/>
              <w:sz w:val="24"/>
            </w:rPr>
            <w:instrText xml:space="preserve"> PAGEREF _Toc2218 \h </w:instrText>
          </w:r>
          <w:r>
            <w:rPr>
              <w:rFonts w:hint="eastAsia"/>
              <w:sz w:val="24"/>
            </w:rPr>
            <w:fldChar w:fldCharType="separate"/>
          </w:r>
          <w:r>
            <w:rPr>
              <w:rFonts w:hint="eastAsia"/>
              <w:sz w:val="24"/>
            </w:rPr>
            <w:t>12</w:t>
          </w:r>
          <w:r>
            <w:rPr>
              <w:rFonts w:hint="eastAsia"/>
              <w:sz w:val="24"/>
            </w:rPr>
            <w:fldChar w:fldCharType="end"/>
          </w:r>
          <w:r>
            <w:rPr>
              <w:rFonts w:hint="eastAsia"/>
              <w:sz w:val="24"/>
            </w:rPr>
            <w:fldChar w:fldCharType="end"/>
          </w:r>
        </w:p>
        <w:p>
          <w:pPr>
            <w:pStyle w:val="11"/>
            <w:adjustRightInd w:val="0"/>
            <w:snapToGrid w:val="0"/>
            <w:spacing w:line="440" w:lineRule="exact"/>
            <w:jc w:val="left"/>
          </w:pPr>
          <w:r>
            <w:fldChar w:fldCharType="begin"/>
          </w:r>
          <w:r>
            <w:instrText xml:space="preserve"> HYPERLINK \l "_Toc9032" </w:instrText>
          </w:r>
          <w:r>
            <w:fldChar w:fldCharType="separate"/>
          </w:r>
          <w:r>
            <w:rPr>
              <w:rFonts w:hint="eastAsia"/>
              <w:sz w:val="24"/>
            </w:rPr>
            <w:t>十、 其他重要事项的情况说明</w:t>
          </w:r>
          <w:r>
            <w:rPr>
              <w:rFonts w:hint="eastAsia"/>
              <w:sz w:val="24"/>
            </w:rPr>
            <w:tab/>
          </w:r>
          <w:r>
            <w:rPr>
              <w:rFonts w:hint="eastAsia"/>
              <w:sz w:val="24"/>
            </w:rPr>
            <w:fldChar w:fldCharType="begin"/>
          </w:r>
          <w:r>
            <w:rPr>
              <w:rFonts w:hint="eastAsia"/>
              <w:sz w:val="24"/>
            </w:rPr>
            <w:instrText xml:space="preserve"> PAGEREF _Toc9032 \h </w:instrText>
          </w:r>
          <w:r>
            <w:rPr>
              <w:rFonts w:hint="eastAsia"/>
              <w:sz w:val="24"/>
            </w:rPr>
            <w:fldChar w:fldCharType="separate"/>
          </w:r>
          <w:r>
            <w:rPr>
              <w:rFonts w:hint="eastAsia"/>
              <w:sz w:val="24"/>
            </w:rPr>
            <w:t>12</w:t>
          </w:r>
          <w:r>
            <w:rPr>
              <w:rFonts w:hint="eastAsia"/>
              <w:sz w:val="24"/>
            </w:rPr>
            <w:fldChar w:fldCharType="end"/>
          </w:r>
          <w:r>
            <w:rPr>
              <w:rFonts w:hint="eastAsia"/>
              <w:sz w:val="24"/>
            </w:rPr>
            <w:fldChar w:fldCharType="end"/>
          </w:r>
        </w:p>
        <w:p>
          <w:pPr>
            <w:pStyle w:val="31"/>
            <w:tabs>
              <w:tab w:val="right" w:leader="dot" w:pos="8306"/>
            </w:tabs>
            <w:rPr>
              <w:rFonts w:ascii="仿宋" w:hAnsi="仿宋" w:eastAsia="仿宋"/>
              <w:kern w:val="2"/>
              <w:sz w:val="24"/>
              <w:szCs w:val="28"/>
            </w:rPr>
          </w:pPr>
          <w:r>
            <w:fldChar w:fldCharType="begin"/>
          </w:r>
          <w:r>
            <w:instrText xml:space="preserve"> HYPERLINK \l "_Toc13392" </w:instrText>
          </w:r>
          <w:r>
            <w:fldChar w:fldCharType="separate"/>
          </w:r>
          <w:r>
            <w:rPr>
              <w:rFonts w:hint="eastAsia" w:ascii="仿宋" w:hAnsi="仿宋" w:eastAsia="仿宋"/>
              <w:kern w:val="2"/>
              <w:sz w:val="24"/>
              <w:szCs w:val="28"/>
            </w:rPr>
            <w:t>第三部分 名词解释</w:t>
          </w:r>
          <w:r>
            <w:rPr>
              <w:rFonts w:hint="eastAsia"/>
              <w:kern w:val="2"/>
              <w:sz w:val="24"/>
              <w:szCs w:val="24"/>
            </w:rPr>
            <w:tab/>
          </w:r>
          <w:r>
            <w:rPr>
              <w:rFonts w:hint="eastAsia"/>
              <w:kern w:val="2"/>
              <w:sz w:val="24"/>
              <w:szCs w:val="24"/>
            </w:rPr>
            <w:fldChar w:fldCharType="begin"/>
          </w:r>
          <w:r>
            <w:rPr>
              <w:rFonts w:hint="eastAsia"/>
              <w:kern w:val="2"/>
              <w:sz w:val="24"/>
              <w:szCs w:val="24"/>
            </w:rPr>
            <w:instrText xml:space="preserve"> PAGEREF _Toc13392 \h </w:instrText>
          </w:r>
          <w:r>
            <w:rPr>
              <w:rFonts w:hint="eastAsia"/>
              <w:kern w:val="2"/>
              <w:sz w:val="24"/>
              <w:szCs w:val="24"/>
            </w:rPr>
            <w:fldChar w:fldCharType="separate"/>
          </w:r>
          <w:r>
            <w:rPr>
              <w:rFonts w:hint="eastAsia"/>
              <w:kern w:val="2"/>
              <w:sz w:val="24"/>
              <w:szCs w:val="24"/>
            </w:rPr>
            <w:t>13</w:t>
          </w:r>
          <w:r>
            <w:rPr>
              <w:rFonts w:hint="eastAsia"/>
              <w:kern w:val="2"/>
              <w:sz w:val="24"/>
              <w:szCs w:val="24"/>
            </w:rPr>
            <w:fldChar w:fldCharType="end"/>
          </w:r>
          <w:r>
            <w:rPr>
              <w:rFonts w:hint="eastAsia"/>
              <w:kern w:val="2"/>
              <w:sz w:val="24"/>
              <w:szCs w:val="24"/>
            </w:rPr>
            <w:fldChar w:fldCharType="end"/>
          </w:r>
        </w:p>
        <w:p>
          <w:pPr>
            <w:pStyle w:val="31"/>
            <w:tabs>
              <w:tab w:val="right" w:leader="dot" w:pos="8306"/>
            </w:tabs>
            <w:rPr>
              <w:rFonts w:ascii="仿宋" w:hAnsi="仿宋" w:eastAsia="仿宋"/>
              <w:kern w:val="2"/>
              <w:sz w:val="24"/>
              <w:szCs w:val="28"/>
            </w:rPr>
          </w:pPr>
          <w:r>
            <w:fldChar w:fldCharType="begin"/>
          </w:r>
          <w:r>
            <w:instrText xml:space="preserve"> HYPERLINK \l "_Toc11525" </w:instrText>
          </w:r>
          <w:r>
            <w:fldChar w:fldCharType="separate"/>
          </w:r>
          <w:r>
            <w:rPr>
              <w:rFonts w:hint="eastAsia" w:ascii="仿宋" w:hAnsi="仿宋" w:eastAsia="仿宋"/>
              <w:kern w:val="2"/>
              <w:sz w:val="24"/>
              <w:szCs w:val="28"/>
            </w:rPr>
            <w:t>第四部分 附件</w:t>
          </w:r>
          <w:r>
            <w:rPr>
              <w:rFonts w:hint="eastAsia"/>
              <w:kern w:val="2"/>
              <w:sz w:val="24"/>
              <w:szCs w:val="24"/>
            </w:rPr>
            <w:tab/>
          </w:r>
          <w:r>
            <w:rPr>
              <w:rFonts w:hint="eastAsia"/>
              <w:kern w:val="2"/>
              <w:sz w:val="24"/>
              <w:szCs w:val="24"/>
            </w:rPr>
            <w:fldChar w:fldCharType="begin"/>
          </w:r>
          <w:r>
            <w:rPr>
              <w:rFonts w:hint="eastAsia"/>
              <w:kern w:val="2"/>
              <w:sz w:val="24"/>
              <w:szCs w:val="24"/>
            </w:rPr>
            <w:instrText xml:space="preserve"> PAGEREF _Toc11525 \h </w:instrText>
          </w:r>
          <w:r>
            <w:rPr>
              <w:rFonts w:hint="eastAsia"/>
              <w:kern w:val="2"/>
              <w:sz w:val="24"/>
              <w:szCs w:val="24"/>
            </w:rPr>
            <w:fldChar w:fldCharType="separate"/>
          </w:r>
          <w:r>
            <w:rPr>
              <w:rFonts w:hint="eastAsia"/>
              <w:kern w:val="2"/>
              <w:sz w:val="24"/>
              <w:szCs w:val="24"/>
            </w:rPr>
            <w:t>16</w:t>
          </w:r>
          <w:r>
            <w:rPr>
              <w:rFonts w:hint="eastAsia"/>
              <w:kern w:val="2"/>
              <w:sz w:val="24"/>
              <w:szCs w:val="24"/>
            </w:rPr>
            <w:fldChar w:fldCharType="end"/>
          </w:r>
          <w:r>
            <w:rPr>
              <w:rFonts w:hint="eastAsia"/>
              <w:kern w:val="2"/>
              <w:sz w:val="24"/>
              <w:szCs w:val="24"/>
            </w:rPr>
            <w:fldChar w:fldCharType="end"/>
          </w:r>
        </w:p>
        <w:p>
          <w:pPr>
            <w:pStyle w:val="31"/>
            <w:tabs>
              <w:tab w:val="right" w:leader="dot" w:pos="8306"/>
            </w:tabs>
            <w:rPr>
              <w:rFonts w:ascii="仿宋" w:hAnsi="仿宋" w:eastAsia="仿宋"/>
              <w:kern w:val="2"/>
              <w:sz w:val="24"/>
              <w:szCs w:val="28"/>
            </w:rPr>
          </w:pPr>
          <w:r>
            <w:fldChar w:fldCharType="begin"/>
          </w:r>
          <w:r>
            <w:instrText xml:space="preserve"> HYPERLINK \l "_Toc11474" </w:instrText>
          </w:r>
          <w:r>
            <w:fldChar w:fldCharType="separate"/>
          </w:r>
          <w:r>
            <w:rPr>
              <w:rFonts w:hint="eastAsia" w:ascii="仿宋" w:hAnsi="仿宋" w:eastAsia="仿宋"/>
              <w:kern w:val="2"/>
              <w:sz w:val="24"/>
              <w:szCs w:val="28"/>
            </w:rPr>
            <w:t>第五部分 附表</w:t>
          </w:r>
          <w:r>
            <w:rPr>
              <w:rFonts w:hint="eastAsia"/>
              <w:kern w:val="2"/>
              <w:sz w:val="24"/>
              <w:szCs w:val="24"/>
            </w:rPr>
            <w:tab/>
          </w:r>
          <w:r>
            <w:rPr>
              <w:rFonts w:hint="eastAsia"/>
              <w:kern w:val="2"/>
              <w:sz w:val="24"/>
              <w:szCs w:val="24"/>
            </w:rPr>
            <w:fldChar w:fldCharType="begin"/>
          </w:r>
          <w:r>
            <w:rPr>
              <w:rFonts w:hint="eastAsia"/>
              <w:kern w:val="2"/>
              <w:sz w:val="24"/>
              <w:szCs w:val="24"/>
            </w:rPr>
            <w:instrText xml:space="preserve"> PAGEREF _Toc11474 \h </w:instrText>
          </w:r>
          <w:r>
            <w:rPr>
              <w:rFonts w:hint="eastAsia"/>
              <w:kern w:val="2"/>
              <w:sz w:val="24"/>
              <w:szCs w:val="24"/>
            </w:rPr>
            <w:fldChar w:fldCharType="separate"/>
          </w:r>
          <w:r>
            <w:rPr>
              <w:rFonts w:hint="eastAsia"/>
              <w:kern w:val="2"/>
              <w:sz w:val="24"/>
              <w:szCs w:val="24"/>
            </w:rPr>
            <w:t>17</w:t>
          </w:r>
          <w:r>
            <w:rPr>
              <w:rFonts w:hint="eastAsia"/>
              <w:kern w:val="2"/>
              <w:sz w:val="24"/>
              <w:szCs w:val="24"/>
            </w:rPr>
            <w:fldChar w:fldCharType="end"/>
          </w:r>
          <w:r>
            <w:rPr>
              <w:rFonts w:hint="eastAsia"/>
              <w:kern w:val="2"/>
              <w:sz w:val="24"/>
              <w:szCs w:val="24"/>
            </w:rPr>
            <w:fldChar w:fldCharType="end"/>
          </w:r>
        </w:p>
        <w:p>
          <w:pPr>
            <w:pStyle w:val="11"/>
            <w:adjustRightInd w:val="0"/>
            <w:snapToGrid w:val="0"/>
            <w:spacing w:line="440" w:lineRule="exact"/>
            <w:jc w:val="left"/>
            <w:rPr>
              <w:sz w:val="24"/>
            </w:rPr>
          </w:pPr>
          <w:r>
            <w:fldChar w:fldCharType="begin"/>
          </w:r>
          <w:r>
            <w:instrText xml:space="preserve"> HYPERLINK \l "_Toc29381" </w:instrText>
          </w:r>
          <w:r>
            <w:fldChar w:fldCharType="separate"/>
          </w:r>
          <w:r>
            <w:rPr>
              <w:rFonts w:hint="eastAsia"/>
              <w:sz w:val="24"/>
            </w:rPr>
            <w:t>一、收入支出决算总表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"_Toc17067" </w:instrText>
          </w:r>
          <w:r>
            <w:fldChar w:fldCharType="separate"/>
          </w:r>
          <w:r>
            <w:rPr>
              <w:rFonts w:hint="eastAsia"/>
              <w:sz w:val="24"/>
            </w:rPr>
            <w:t>二、收入决算表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"_Toc14700" </w:instrText>
          </w:r>
          <w:r>
            <w:fldChar w:fldCharType="separate"/>
          </w:r>
          <w:r>
            <w:rPr>
              <w:rFonts w:hint="eastAsia"/>
              <w:sz w:val="24"/>
            </w:rPr>
            <w:t>三、支出决算表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"_Toc32448" </w:instrText>
          </w:r>
          <w:r>
            <w:fldChar w:fldCharType="separate"/>
          </w:r>
          <w:r>
            <w:rPr>
              <w:rFonts w:hint="eastAsia"/>
              <w:sz w:val="24"/>
            </w:rPr>
            <w:t>四、财政拨款收入支出决算总表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"_Toc23339" </w:instrText>
          </w:r>
          <w:r>
            <w:fldChar w:fldCharType="separate"/>
          </w:r>
          <w:r>
            <w:rPr>
              <w:rFonts w:hint="eastAsia"/>
              <w:sz w:val="24"/>
            </w:rPr>
            <w:t>五、财政拨款支出决算明细表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"_Toc1319" </w:instrText>
          </w:r>
          <w:r>
            <w:fldChar w:fldCharType="separate"/>
          </w:r>
          <w:r>
            <w:rPr>
              <w:rFonts w:hint="eastAsia"/>
              <w:sz w:val="24"/>
            </w:rPr>
            <w:t>六、一般公共预算财政拨款支出决算表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"_Toc15404" </w:instrText>
          </w:r>
          <w:r>
            <w:fldChar w:fldCharType="separate"/>
          </w:r>
          <w:r>
            <w:rPr>
              <w:rFonts w:hint="eastAsia"/>
              <w:sz w:val="24"/>
            </w:rPr>
            <w:t>七、一般公共预算财政拨款支出决算明细表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"_Toc24609" </w:instrText>
          </w:r>
          <w:r>
            <w:fldChar w:fldCharType="separate"/>
          </w:r>
          <w:r>
            <w:rPr>
              <w:rFonts w:hint="eastAsia"/>
              <w:sz w:val="24"/>
            </w:rPr>
            <w:t>八、一般公共预算财政拨款基本支出决算表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"_Toc8548" </w:instrText>
          </w:r>
          <w:r>
            <w:fldChar w:fldCharType="separate"/>
          </w:r>
          <w:r>
            <w:rPr>
              <w:rFonts w:hint="eastAsia"/>
              <w:sz w:val="24"/>
            </w:rPr>
            <w:t>九、一般公共预算财政拨款项目支出决算表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"_Toc32162" </w:instrText>
          </w:r>
          <w:r>
            <w:fldChar w:fldCharType="separate"/>
          </w:r>
          <w:r>
            <w:rPr>
              <w:rFonts w:hint="eastAsia"/>
              <w:sz w:val="24"/>
            </w:rPr>
            <w:t>十、政府性基金预算财政拨款收入支出决算表</w:t>
          </w:r>
          <w:r>
            <w:rPr>
              <w:rFonts w:hint="eastAsia"/>
              <w:sz w:val="24"/>
            </w:rPr>
            <w:tab/>
          </w:r>
          <w:r>
            <w:rPr>
              <w:rFonts w:hint="eastAsia"/>
              <w:sz w:val="24"/>
            </w:rPr>
            <w:fldChar w:fldCharType="begin"/>
          </w:r>
          <w:r>
            <w:rPr>
              <w:rFonts w:hint="eastAsia"/>
              <w:sz w:val="24"/>
            </w:rPr>
            <w:instrText xml:space="preserve"> PAGEREF _Toc11474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sectPr>
              <w:footerReference r:id="rId8" w:type="first"/>
              <w:footerReference r:id="rId7" w:type="default"/>
              <w:pgSz w:w="11906" w:h="16838"/>
              <w:pgMar w:top="1440" w:right="1800" w:bottom="1440" w:left="1800" w:header="851" w:footer="992" w:gutter="0"/>
              <w:pgNumType w:fmt="decimal" w:start="2"/>
              <w:cols w:space="425" w:num="1"/>
              <w:docGrid w:type="lines" w:linePitch="312" w:charSpace="0"/>
            </w:sectPr>
          </w:pPr>
        </w:p>
        <w:p>
          <w:pPr>
            <w:pStyle w:val="11"/>
            <w:adjustRightInd w:val="0"/>
            <w:snapToGrid w:val="0"/>
            <w:spacing w:line="440" w:lineRule="exact"/>
            <w:jc w:val="left"/>
            <w:rPr>
              <w:sz w:val="24"/>
            </w:rPr>
          </w:pPr>
          <w:r>
            <w:fldChar w:fldCharType="begin"/>
          </w:r>
          <w:r>
            <w:instrText xml:space="preserve"> HYPERLINK \l "_Toc21126" </w:instrText>
          </w:r>
          <w:r>
            <w:fldChar w:fldCharType="separate"/>
          </w:r>
          <w:r>
            <w:rPr>
              <w:rFonts w:hint="eastAsia"/>
              <w:sz w:val="24"/>
            </w:rPr>
            <w:t>十一、国有资本经营预算财政拨款收入支出决算表</w:t>
          </w:r>
          <w:r>
            <w:rPr>
              <w:rFonts w:hint="eastAsia"/>
              <w:sz w:val="24"/>
            </w:rPr>
            <w:tab/>
          </w:r>
          <w:r>
            <w:rPr>
              <w:rFonts w:hint="eastAsia"/>
              <w:sz w:val="24"/>
            </w:rPr>
            <w:fldChar w:fldCharType="begin"/>
          </w:r>
          <w:r>
            <w:rPr>
              <w:rFonts w:hint="eastAsia"/>
              <w:sz w:val="24"/>
            </w:rPr>
            <w:instrText xml:space="preserve"> PAGEREF _Toc21126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rPr>
              <w:sz w:val="24"/>
            </w:rPr>
          </w:pPr>
          <w:r>
            <w:fldChar w:fldCharType="begin"/>
          </w:r>
          <w:r>
            <w:instrText xml:space="preserve"> HYPERLINK \l "_Toc31222" </w:instrText>
          </w:r>
          <w:r>
            <w:fldChar w:fldCharType="separate"/>
          </w:r>
          <w:r>
            <w:rPr>
              <w:rFonts w:hint="eastAsia"/>
              <w:sz w:val="24"/>
            </w:rPr>
            <w:t>十二、国有资本经营预算财政拨款支出决算表</w:t>
          </w:r>
          <w:r>
            <w:rPr>
              <w:rFonts w:hint="eastAsia"/>
              <w:sz w:val="24"/>
            </w:rPr>
            <w:tab/>
          </w:r>
          <w:r>
            <w:rPr>
              <w:rFonts w:hint="eastAsia"/>
              <w:sz w:val="24"/>
            </w:rPr>
            <w:fldChar w:fldCharType="begin"/>
          </w:r>
          <w:r>
            <w:rPr>
              <w:rFonts w:hint="eastAsia"/>
              <w:sz w:val="24"/>
            </w:rPr>
            <w:instrText xml:space="preserve"> PAGEREF _Toc31222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pStyle w:val="11"/>
            <w:adjustRightInd w:val="0"/>
            <w:snapToGrid w:val="0"/>
            <w:spacing w:line="440" w:lineRule="exact"/>
            <w:jc w:val="left"/>
          </w:pPr>
          <w:r>
            <w:fldChar w:fldCharType="begin"/>
          </w:r>
          <w:r>
            <w:instrText xml:space="preserve"> HYPERLINK \l "_Toc10369" </w:instrText>
          </w:r>
          <w:r>
            <w:fldChar w:fldCharType="separate"/>
          </w:r>
          <w:r>
            <w:rPr>
              <w:rFonts w:hint="eastAsia"/>
              <w:sz w:val="24"/>
            </w:rPr>
            <w:t>十三、财政拨款“三公”经费支出决算表</w:t>
          </w:r>
          <w:r>
            <w:rPr>
              <w:rFonts w:hint="eastAsia"/>
              <w:sz w:val="24"/>
            </w:rPr>
            <w:tab/>
          </w:r>
          <w:r>
            <w:rPr>
              <w:rFonts w:hint="eastAsia"/>
              <w:sz w:val="24"/>
            </w:rPr>
            <w:fldChar w:fldCharType="begin"/>
          </w:r>
          <w:r>
            <w:rPr>
              <w:rFonts w:hint="eastAsia"/>
              <w:sz w:val="24"/>
            </w:rPr>
            <w:instrText xml:space="preserve"> PAGEREF _Toc10369 \h </w:instrText>
          </w:r>
          <w:r>
            <w:rPr>
              <w:rFonts w:hint="eastAsia"/>
              <w:sz w:val="24"/>
            </w:rPr>
            <w:fldChar w:fldCharType="separate"/>
          </w:r>
          <w:r>
            <w:rPr>
              <w:rFonts w:hint="eastAsia"/>
              <w:sz w:val="24"/>
            </w:rPr>
            <w:t>17</w:t>
          </w:r>
          <w:r>
            <w:rPr>
              <w:rFonts w:hint="eastAsia"/>
              <w:sz w:val="24"/>
            </w:rPr>
            <w:fldChar w:fldCharType="end"/>
          </w:r>
          <w:r>
            <w:rPr>
              <w:rFonts w:hint="eastAsia"/>
              <w:sz w:val="24"/>
            </w:rPr>
            <w:fldChar w:fldCharType="end"/>
          </w:r>
        </w:p>
        <w:p>
          <w:pPr>
            <w:rPr>
              <w:b/>
            </w:rPr>
            <w:sectPr>
              <w:footerReference r:id="rId9" w:type="default"/>
              <w:pgSz w:w="11906" w:h="16838"/>
              <w:pgMar w:top="1440" w:right="1800" w:bottom="1440" w:left="1800" w:header="851" w:footer="992" w:gutter="0"/>
              <w:pgNumType w:fmt="decimal" w:start="3"/>
              <w:cols w:space="425" w:num="1"/>
              <w:docGrid w:type="lines" w:linePitch="312" w:charSpace="0"/>
            </w:sectPr>
          </w:pPr>
          <w:r>
            <w:rPr>
              <w:b/>
            </w:rPr>
            <w:fldChar w:fldCharType="end"/>
          </w:r>
        </w:p>
      </w:sdtContent>
    </w:sdt>
    <w:p>
      <w:pPr>
        <w:rPr>
          <w:b/>
        </w:rPr>
      </w:pPr>
    </w:p>
    <w:p>
      <w:pPr>
        <w:pStyle w:val="3"/>
        <w:jc w:val="center"/>
        <w:rPr>
          <w:rStyle w:val="25"/>
          <w:rFonts w:ascii="黑体" w:hAnsi="黑体" w:eastAsia="黑体"/>
          <w:b/>
          <w:bCs w:val="0"/>
        </w:rPr>
      </w:pPr>
      <w:bookmarkStart w:id="14" w:name="_Toc11000"/>
      <w:bookmarkStart w:id="15" w:name="_Toc15396599"/>
      <w:bookmarkStart w:id="16" w:name="_Toc15377196"/>
      <w:r>
        <w:rPr>
          <w:rFonts w:hint="eastAsia" w:ascii="黑体" w:hAnsi="黑体" w:eastAsia="黑体"/>
          <w:b w:val="0"/>
        </w:rPr>
        <w:t>第一部分 单位</w:t>
      </w:r>
      <w:r>
        <w:rPr>
          <w:rStyle w:val="25"/>
          <w:rFonts w:hint="eastAsia" w:ascii="黑体" w:hAnsi="黑体" w:eastAsia="黑体"/>
          <w:b w:val="0"/>
          <w:bCs w:val="0"/>
        </w:rPr>
        <w:t>概况</w:t>
      </w:r>
      <w:bookmarkEnd w:id="14"/>
      <w:bookmarkEnd w:id="15"/>
      <w:bookmarkEnd w:id="16"/>
    </w:p>
    <w:p>
      <w:pPr>
        <w:widowControl/>
        <w:jc w:val="left"/>
        <w:rPr>
          <w:rFonts w:ascii="黑体" w:eastAsia="黑体"/>
          <w:sz w:val="32"/>
          <w:szCs w:val="32"/>
        </w:rPr>
      </w:pPr>
    </w:p>
    <w:p>
      <w:pPr>
        <w:pStyle w:val="4"/>
        <w:spacing w:before="0" w:after="0" w:line="600" w:lineRule="exact"/>
        <w:ind w:firstLine="640" w:firstLineChars="200"/>
        <w:rPr>
          <w:rStyle w:val="26"/>
          <w:rFonts w:ascii="黑体" w:hAnsi="黑体" w:eastAsia="黑体"/>
          <w:b w:val="0"/>
          <w:bCs w:val="0"/>
        </w:rPr>
      </w:pPr>
      <w:bookmarkStart w:id="17" w:name="_Toc14802"/>
      <w:bookmarkStart w:id="18" w:name="_Toc15396600"/>
      <w:bookmarkStart w:id="19" w:name="_Toc15377197"/>
      <w:r>
        <w:rPr>
          <w:rStyle w:val="26"/>
          <w:rFonts w:hint="eastAsia" w:ascii="黑体" w:hAnsi="黑体" w:eastAsia="黑体"/>
          <w:b w:val="0"/>
          <w:bCs w:val="0"/>
        </w:rPr>
        <w:t>一、主要职责</w:t>
      </w:r>
      <w:bookmarkEnd w:id="17"/>
    </w:p>
    <w:p>
      <w:pPr>
        <w:spacing w:line="600" w:lineRule="exact"/>
        <w:ind w:firstLine="640" w:firstLineChars="200"/>
        <w:rPr>
          <w:rFonts w:ascii="仿宋" w:hAnsi="仿宋" w:eastAsia="仿宋"/>
          <w:sz w:val="32"/>
          <w:szCs w:val="32"/>
        </w:rPr>
      </w:pPr>
      <w:r>
        <w:rPr>
          <w:rFonts w:hint="eastAsia" w:ascii="仿宋" w:hAnsi="仿宋" w:eastAsia="仿宋"/>
          <w:sz w:val="32"/>
          <w:szCs w:val="32"/>
        </w:rPr>
        <w:t>省直机关工会成立于1984年，是省直机关及直属企事业单位工会按照联合制、代表制原则组成的一级工会组织，是省直机关及直属企事业单位工会组织的领导机关，受省直机关工委和省总工会的双重领导，以省直机关工委领导为主。其主要工作职能是：</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根据党的基本理论、基本路线、基本纲领和工运方针，围绕党和国家工作大局、省直机关中心工作，贯彻执行全总、省总的部署以及省直工会代表大会、全委会、常委会确定的目标任务，拟定省直单位工会创建“职工之家”的规划。</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2.组织和指导省直单位工会坚定不移地推动党的全心全意依靠工人阶级指导方针的贯彻落实，进一步突出和履行维护职能。</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3.指导省直单位工会开展以职工代表大会和厂(事)务公开为基本制度的民主选举、民主决策、民主管理和民主监督工作，推动建立平等协商、集体合同制度和监督机制的工作。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4.对有关省直单位职工合法利益的重大问题和工会工作中的重要理论政策进行调查研究，向有关部门反映职工的思想、意愿和要求;检查监督涉及省直单位职工切身利益的法律、法规和政策措施的贯彻执行情况，并为省直单位干部职工提供相应的法律援助。</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5.协助省直单位党组织管理工会领导干部，配备好工会领导班子。</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6.负责省直单位工会干部的培训工作。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7.做好省直单位困难职工帮扶救助工作，积极开展金秋助学活动。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8.组织动员职工开展具有省直单位特点的经济技术创新活动、技术协作和技术攻关等活动。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9.做好省直单位省(部)级以上劳模管理工作。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10.调查了解省直单位职工的思想动态，协同有关部门按照社会主义核心价值体系要求加强职工职业道德建设，深化“创建学习型组织、争当知识型技能型职工”活动。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11.实施职工素质工程;组织并指导省直单位工会开展职工文娱体育活动。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12.负责省直单位工会经费和工会资产的管理、审查、审计工作。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13.负责指导省直单位工会做好职工权益保障工作。</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14.参与省直单位职工重大伤亡事故、严重职业危害和侵害女职工合法利益重大事件的调查处理，指导基层工会开展以“安康杯”竞赛活动为主要内容的群众性安全卫生活动。</w:t>
      </w:r>
    </w:p>
    <w:p>
      <w:pPr>
        <w:spacing w:line="600" w:lineRule="exact"/>
        <w:ind w:firstLine="640" w:firstLineChars="200"/>
        <w:rPr>
          <w:rFonts w:ascii="仿宋" w:hAnsi="仿宋" w:eastAsia="仿宋"/>
          <w:sz w:val="32"/>
          <w:szCs w:val="32"/>
        </w:rPr>
      </w:pPr>
      <w:r>
        <w:rPr>
          <w:rFonts w:hint="eastAsia" w:ascii="仿宋" w:hAnsi="仿宋" w:eastAsia="仿宋"/>
          <w:sz w:val="32"/>
          <w:szCs w:val="32"/>
        </w:rPr>
        <w:t>15.根据省总工会的安排，开展相关的国际活动;完成省直工委和省总工会交办的其他任务。</w:t>
      </w:r>
      <w:bookmarkStart w:id="20" w:name="_Toc17860"/>
    </w:p>
    <w:p>
      <w:pPr>
        <w:spacing w:line="600" w:lineRule="exact"/>
        <w:ind w:firstLine="640" w:firstLineChars="200"/>
        <w:rPr>
          <w:rFonts w:ascii="仿宋" w:hAnsi="仿宋" w:eastAsia="仿宋"/>
          <w:sz w:val="32"/>
          <w:szCs w:val="32"/>
        </w:rPr>
      </w:pPr>
      <w:r>
        <w:rPr>
          <w:rFonts w:hint="eastAsia" w:ascii="黑体" w:hAnsi="黑体" w:eastAsia="黑体"/>
          <w:sz w:val="32"/>
          <w:szCs w:val="32"/>
        </w:rPr>
        <w:t>二、机构设置</w:t>
      </w:r>
      <w:bookmarkEnd w:id="20"/>
    </w:p>
    <w:p>
      <w:pPr>
        <w:pStyle w:val="12"/>
        <w:widowControl/>
        <w:spacing w:beforeAutospacing="0" w:afterAutospacing="0" w:line="600" w:lineRule="exact"/>
        <w:ind w:firstLine="640" w:firstLineChars="200"/>
        <w:textAlignment w:val="baseline"/>
        <w:rPr>
          <w:rFonts w:ascii="仿宋" w:hAnsi="仿宋" w:eastAsia="仿宋"/>
          <w:kern w:val="2"/>
          <w:sz w:val="32"/>
          <w:szCs w:val="32"/>
        </w:rPr>
      </w:pPr>
      <w:r>
        <w:rPr>
          <w:rFonts w:hint="eastAsia" w:ascii="仿宋" w:hAnsi="仿宋" w:eastAsia="仿宋"/>
          <w:kern w:val="2"/>
          <w:sz w:val="32"/>
          <w:szCs w:val="32"/>
        </w:rPr>
        <w:t>四川省直属机关工会委员会现有专职工会干部15名，参照公务员制度管理。其中主席1名，副主席2名。下设办公室、组宣部、财务部和事业发展部（帮扶中心办公室）。</w:t>
      </w:r>
    </w:p>
    <w:p>
      <w:pPr>
        <w:spacing w:line="440" w:lineRule="exact"/>
      </w:pPr>
    </w:p>
    <w:bookmarkEnd w:id="18"/>
    <w:bookmarkEnd w:id="19"/>
    <w:p>
      <w:pPr>
        <w:widowControl/>
        <w:jc w:val="left"/>
        <w:rPr>
          <w:rFonts w:ascii="仿宋" w:hAnsi="仿宋" w:eastAsia="仿宋"/>
          <w:kern w:val="0"/>
          <w:sz w:val="32"/>
          <w:szCs w:val="32"/>
        </w:rPr>
      </w:pPr>
      <w:r>
        <w:rPr>
          <w:rFonts w:ascii="仿宋" w:hAnsi="仿宋" w:eastAsia="仿宋"/>
          <w:sz w:val="32"/>
          <w:szCs w:val="32"/>
        </w:rPr>
        <w:br w:type="page"/>
      </w:r>
    </w:p>
    <w:p>
      <w:pPr>
        <w:pStyle w:val="3"/>
        <w:ind w:right="440"/>
        <w:jc w:val="center"/>
        <w:rPr>
          <w:rFonts w:ascii="黑体" w:hAnsi="黑体" w:eastAsia="黑体"/>
          <w:b w:val="0"/>
        </w:rPr>
      </w:pPr>
      <w:bookmarkStart w:id="21" w:name="_Toc20769"/>
      <w:bookmarkStart w:id="22" w:name="_Toc15377204"/>
      <w:bookmarkStart w:id="23" w:name="_Toc15396602"/>
      <w:r>
        <w:rPr>
          <w:rFonts w:hint="eastAsia" w:ascii="黑体" w:hAnsi="黑体" w:eastAsia="黑体"/>
          <w:b w:val="0"/>
        </w:rPr>
        <w:t>第二部分 2022年度</w:t>
      </w:r>
      <w:r>
        <w:rPr>
          <w:rStyle w:val="25"/>
          <w:rFonts w:hint="eastAsia" w:ascii="黑体" w:hAnsi="黑体" w:eastAsia="黑体"/>
          <w:b w:val="0"/>
          <w:bCs/>
        </w:rPr>
        <w:t>单位决算情况说明</w:t>
      </w:r>
      <w:bookmarkEnd w:id="21"/>
      <w:bookmarkEnd w:id="22"/>
      <w:bookmarkEnd w:id="23"/>
    </w:p>
    <w:p>
      <w:pPr>
        <w:pStyle w:val="24"/>
        <w:numPr>
          <w:ilvl w:val="0"/>
          <w:numId w:val="1"/>
        </w:numPr>
        <w:spacing w:line="600" w:lineRule="exact"/>
        <w:ind w:firstLineChars="0"/>
        <w:outlineLvl w:val="1"/>
        <w:rPr>
          <w:rStyle w:val="26"/>
          <w:rFonts w:ascii="黑体" w:hAnsi="黑体" w:eastAsia="黑体"/>
          <w:b w:val="0"/>
        </w:rPr>
      </w:pPr>
      <w:bookmarkStart w:id="24" w:name="_Toc15396603"/>
      <w:bookmarkStart w:id="25" w:name="_Toc15377205"/>
      <w:bookmarkStart w:id="26" w:name="_Toc22363"/>
      <w:r>
        <w:rPr>
          <w:rFonts w:hint="eastAsia" w:ascii="黑体" w:hAnsi="黑体" w:eastAsia="黑体"/>
          <w:sz w:val="32"/>
          <w:szCs w:val="32"/>
        </w:rPr>
        <w:t>收</w:t>
      </w:r>
      <w:r>
        <w:rPr>
          <w:rStyle w:val="26"/>
          <w:rFonts w:hint="eastAsia" w:ascii="黑体" w:hAnsi="黑体" w:eastAsia="黑体"/>
          <w:b w:val="0"/>
        </w:rPr>
        <w:t>入支出决算总体情况说明</w:t>
      </w:r>
      <w:bookmarkEnd w:id="24"/>
      <w:bookmarkEnd w:id="25"/>
      <w:bookmarkEnd w:id="26"/>
    </w:p>
    <w:p>
      <w:pPr>
        <w:spacing w:line="600" w:lineRule="exact"/>
        <w:ind w:firstLine="640" w:firstLineChars="200"/>
        <w:rPr>
          <w:rFonts w:ascii="仿宋" w:hAnsi="仿宋" w:eastAsia="仿宋"/>
          <w:sz w:val="32"/>
          <w:szCs w:val="32"/>
        </w:rPr>
      </w:pPr>
      <w:r>
        <w:rPr>
          <w:rFonts w:hint="eastAsia" w:ascii="仿宋" w:hAnsi="仿宋" w:eastAsia="仿宋"/>
          <w:sz w:val="32"/>
          <w:szCs w:val="32"/>
        </w:rPr>
        <w:t>2022年度收、支总计92.62万元。与2021年相比，收、支总计各减少24.65万元，下降21.02</w:t>
      </w:r>
      <w:r>
        <w:rPr>
          <w:rFonts w:ascii="仿宋" w:hAnsi="仿宋" w:eastAsia="仿宋"/>
          <w:sz w:val="32"/>
          <w:szCs w:val="32"/>
        </w:rPr>
        <w:t>%</w:t>
      </w:r>
      <w:r>
        <w:rPr>
          <w:rFonts w:hint="eastAsia" w:ascii="仿宋" w:hAnsi="仿宋" w:eastAsia="仿宋"/>
          <w:sz w:val="32"/>
          <w:szCs w:val="32"/>
        </w:rPr>
        <w:t>。主要变动原因是财政减少了人员基础绩效奖金和公务员车补预算。</w:t>
      </w:r>
    </w:p>
    <w:p>
      <w:pPr>
        <w:pStyle w:val="2"/>
        <w:spacing w:before="93"/>
        <w:jc w:val="center"/>
        <w:rPr>
          <w:rFonts w:ascii="仿宋" w:hAnsi="仿宋" w:eastAsia="仿宋"/>
          <w:sz w:val="32"/>
          <w:szCs w:val="32"/>
        </w:rPr>
      </w:pPr>
      <w:r>
        <w:rPr>
          <w:rFonts w:hint="eastAsia" w:ascii="仿宋" w:hAnsi="仿宋" w:eastAsia="仿宋"/>
          <w:sz w:val="32"/>
          <w:szCs w:val="32"/>
        </w:rPr>
        <w:drawing>
          <wp:inline distT="0" distB="0" distL="114300" distR="114300">
            <wp:extent cx="4104640" cy="2073275"/>
            <wp:effectExtent l="19050" t="0" r="9850" b="3101"/>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pPr>
        <w:spacing w:line="600" w:lineRule="exact"/>
        <w:ind w:firstLine="1280" w:firstLineChars="4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w:t>
      </w:r>
    </w:p>
    <w:p>
      <w:pPr>
        <w:pStyle w:val="24"/>
        <w:numPr>
          <w:ilvl w:val="0"/>
          <w:numId w:val="1"/>
        </w:numPr>
        <w:spacing w:line="600" w:lineRule="exact"/>
        <w:ind w:firstLineChars="0"/>
        <w:outlineLvl w:val="1"/>
        <w:rPr>
          <w:rStyle w:val="26"/>
          <w:rFonts w:ascii="黑体" w:hAnsi="黑体" w:eastAsia="黑体"/>
          <w:b w:val="0"/>
        </w:rPr>
      </w:pPr>
      <w:bookmarkStart w:id="27" w:name="_Toc15396604"/>
      <w:bookmarkStart w:id="28" w:name="_Toc27113"/>
      <w:bookmarkStart w:id="29" w:name="_Toc15377206"/>
      <w:r>
        <w:rPr>
          <w:rFonts w:hint="eastAsia" w:ascii="黑体" w:hAnsi="黑体" w:eastAsia="黑体"/>
          <w:sz w:val="32"/>
          <w:szCs w:val="32"/>
        </w:rPr>
        <w:t>收</w:t>
      </w:r>
      <w:r>
        <w:rPr>
          <w:rStyle w:val="26"/>
          <w:rFonts w:hint="eastAsia" w:ascii="黑体" w:hAnsi="黑体" w:eastAsia="黑体"/>
          <w:b w:val="0"/>
        </w:rPr>
        <w:t>入决算情况说明</w:t>
      </w:r>
      <w:bookmarkEnd w:id="27"/>
      <w:bookmarkEnd w:id="28"/>
      <w:bookmarkEnd w:id="29"/>
    </w:p>
    <w:p>
      <w:pPr>
        <w:spacing w:line="600" w:lineRule="exact"/>
        <w:ind w:firstLine="640" w:firstLineChars="200"/>
        <w:outlineLvl w:val="1"/>
        <w:rPr>
          <w:rFonts w:ascii="仿宋" w:hAnsi="仿宋" w:eastAsia="仿宋"/>
          <w:b/>
          <w:sz w:val="32"/>
          <w:szCs w:val="32"/>
        </w:rPr>
      </w:pPr>
      <w:bookmarkStart w:id="30" w:name="_Toc10239"/>
      <w:r>
        <w:rPr>
          <w:rFonts w:ascii="仿宋" w:hAnsi="仿宋" w:eastAsia="仿宋"/>
          <w:sz w:val="32"/>
          <w:szCs w:val="32"/>
        </w:rPr>
        <w:t>20</w:t>
      </w:r>
      <w:r>
        <w:rPr>
          <w:rFonts w:hint="eastAsia" w:ascii="仿宋" w:hAnsi="仿宋" w:eastAsia="仿宋"/>
          <w:sz w:val="32"/>
          <w:szCs w:val="32"/>
        </w:rPr>
        <w:t>22年本年收入合计92.62万元，其中：一般公共预算财政拨款收入92.62万元，占100</w:t>
      </w:r>
      <w:r>
        <w:rPr>
          <w:rFonts w:ascii="仿宋" w:hAnsi="仿宋" w:eastAsia="仿宋"/>
          <w:sz w:val="32"/>
          <w:szCs w:val="32"/>
        </w:rPr>
        <w:t>%</w:t>
      </w:r>
      <w:r>
        <w:rPr>
          <w:rFonts w:hint="eastAsia" w:ascii="仿宋" w:hAnsi="仿宋" w:eastAsia="仿宋"/>
          <w:sz w:val="32"/>
          <w:szCs w:val="32"/>
        </w:rPr>
        <w:t>。</w:t>
      </w:r>
      <w:bookmarkEnd w:id="30"/>
    </w:p>
    <w:p>
      <w:pPr>
        <w:pStyle w:val="2"/>
        <w:spacing w:before="93"/>
        <w:jc w:val="center"/>
        <w:rPr>
          <w:rFonts w:ascii="仿宋" w:hAnsi="仿宋" w:eastAsia="仿宋"/>
          <w:sz w:val="32"/>
          <w:szCs w:val="32"/>
        </w:rPr>
      </w:pPr>
      <w:r>
        <w:rPr>
          <w:rFonts w:hint="eastAsia" w:ascii="仿宋" w:hAnsi="仿宋" w:eastAsia="仿宋"/>
          <w:b/>
          <w:sz w:val="32"/>
          <w:szCs w:val="32"/>
        </w:rPr>
        <w:drawing>
          <wp:inline distT="0" distB="0" distL="114300" distR="114300">
            <wp:extent cx="3968115" cy="1988185"/>
            <wp:effectExtent l="19050" t="0" r="13291" b="0"/>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pPr>
        <w:spacing w:line="600" w:lineRule="exact"/>
        <w:ind w:firstLine="2080" w:firstLineChars="650"/>
        <w:rPr>
          <w:rFonts w:ascii="仿宋" w:hAnsi="仿宋" w:eastAsia="仿宋"/>
          <w:sz w:val="32"/>
          <w:szCs w:val="32"/>
        </w:rPr>
      </w:pPr>
      <w:r>
        <w:rPr>
          <w:rFonts w:hint="eastAsia" w:ascii="仿宋" w:hAnsi="仿宋" w:eastAsia="仿宋"/>
          <w:sz w:val="32"/>
          <w:szCs w:val="32"/>
        </w:rPr>
        <w:t>（图2：收入决算结构图）</w:t>
      </w:r>
    </w:p>
    <w:p>
      <w:pPr>
        <w:pStyle w:val="24"/>
        <w:numPr>
          <w:ilvl w:val="0"/>
          <w:numId w:val="1"/>
        </w:numPr>
        <w:spacing w:line="600" w:lineRule="exact"/>
        <w:ind w:firstLineChars="0"/>
        <w:outlineLvl w:val="1"/>
        <w:rPr>
          <w:rStyle w:val="26"/>
          <w:rFonts w:ascii="黑体" w:hAnsi="黑体" w:eastAsia="黑体"/>
          <w:b w:val="0"/>
        </w:rPr>
      </w:pPr>
      <w:bookmarkStart w:id="31" w:name="_Toc15396605"/>
      <w:bookmarkStart w:id="32" w:name="_Toc15377207"/>
      <w:bookmarkStart w:id="33" w:name="_Toc7214"/>
      <w:r>
        <w:rPr>
          <w:rFonts w:hint="eastAsia" w:ascii="黑体" w:hAnsi="黑体" w:eastAsia="黑体"/>
          <w:sz w:val="32"/>
          <w:szCs w:val="32"/>
        </w:rPr>
        <w:t>支</w:t>
      </w:r>
      <w:r>
        <w:rPr>
          <w:rStyle w:val="26"/>
          <w:rFonts w:hint="eastAsia" w:ascii="黑体" w:hAnsi="黑体" w:eastAsia="黑体"/>
          <w:b w:val="0"/>
        </w:rPr>
        <w:t>出决算情况说明</w:t>
      </w:r>
      <w:bookmarkEnd w:id="31"/>
      <w:bookmarkEnd w:id="32"/>
      <w:bookmarkEnd w:id="33"/>
    </w:p>
    <w:p>
      <w:pPr>
        <w:spacing w:line="600" w:lineRule="exact"/>
        <w:ind w:firstLine="640" w:firstLineChars="200"/>
        <w:outlineLvl w:val="1"/>
        <w:rPr>
          <w:rFonts w:ascii="仿宋" w:hAnsi="仿宋" w:eastAsia="仿宋"/>
          <w:sz w:val="32"/>
          <w:szCs w:val="32"/>
        </w:rPr>
      </w:pPr>
      <w:bookmarkStart w:id="34" w:name="_Toc17730"/>
      <w:r>
        <w:rPr>
          <w:rFonts w:ascii="仿宋" w:hAnsi="仿宋" w:eastAsia="仿宋"/>
          <w:sz w:val="32"/>
          <w:szCs w:val="32"/>
        </w:rPr>
        <w:t>20</w:t>
      </w:r>
      <w:r>
        <w:rPr>
          <w:rFonts w:hint="eastAsia" w:ascii="仿宋" w:hAnsi="仿宋" w:eastAsia="仿宋"/>
          <w:sz w:val="32"/>
          <w:szCs w:val="32"/>
        </w:rPr>
        <w:t>22年本年支出合计92.62万元，其中：基本支出92.62万元，占100</w:t>
      </w:r>
      <w:r>
        <w:rPr>
          <w:rFonts w:ascii="仿宋" w:hAnsi="仿宋" w:eastAsia="仿宋"/>
          <w:sz w:val="32"/>
          <w:szCs w:val="32"/>
        </w:rPr>
        <w:t>%</w:t>
      </w:r>
      <w:r>
        <w:rPr>
          <w:rFonts w:hint="eastAsia" w:ascii="仿宋" w:hAnsi="仿宋" w:eastAsia="仿宋"/>
          <w:sz w:val="32"/>
          <w:szCs w:val="32"/>
        </w:rPr>
        <w:t>。</w:t>
      </w:r>
      <w:bookmarkEnd w:id="34"/>
    </w:p>
    <w:p>
      <w:pPr>
        <w:pStyle w:val="2"/>
        <w:spacing w:before="93"/>
        <w:jc w:val="center"/>
        <w:rPr>
          <w:rFonts w:ascii="仿宋" w:hAnsi="仿宋" w:eastAsia="仿宋"/>
          <w:sz w:val="32"/>
          <w:szCs w:val="32"/>
          <w:shd w:val="pct10" w:color="auto" w:fill="FFFFFF"/>
        </w:rPr>
      </w:pPr>
      <w:r>
        <w:rPr>
          <w:rFonts w:hint="eastAsia" w:ascii="仿宋" w:hAnsi="仿宋" w:eastAsia="仿宋"/>
          <w:b/>
          <w:sz w:val="32"/>
          <w:szCs w:val="32"/>
        </w:rPr>
        <w:drawing>
          <wp:inline distT="0" distB="0" distL="114300" distR="114300">
            <wp:extent cx="3855085" cy="2164080"/>
            <wp:effectExtent l="19050" t="0" r="11976" b="7104"/>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pPr>
        <w:spacing w:line="600" w:lineRule="exact"/>
        <w:ind w:firstLine="1600" w:firstLineChars="500"/>
        <w:rPr>
          <w:rFonts w:ascii="仿宋_GB2312" w:eastAsia="仿宋_GB2312"/>
          <w:sz w:val="32"/>
          <w:szCs w:val="32"/>
        </w:rPr>
      </w:pPr>
      <w:r>
        <w:rPr>
          <w:rFonts w:hint="eastAsia" w:ascii="仿宋" w:hAnsi="仿宋" w:eastAsia="仿宋"/>
          <w:sz w:val="32"/>
          <w:szCs w:val="32"/>
        </w:rPr>
        <w:t>（图3：支出决算结构图）</w:t>
      </w:r>
    </w:p>
    <w:p>
      <w:pPr>
        <w:spacing w:line="600" w:lineRule="exact"/>
        <w:ind w:firstLine="640" w:firstLineChars="200"/>
        <w:outlineLvl w:val="1"/>
        <w:rPr>
          <w:rStyle w:val="26"/>
          <w:rFonts w:ascii="黑体" w:hAnsi="黑体" w:eastAsia="黑体"/>
          <w:b w:val="0"/>
        </w:rPr>
      </w:pPr>
      <w:bookmarkStart w:id="35" w:name="_Toc15377208"/>
      <w:bookmarkStart w:id="36" w:name="_Toc18000"/>
      <w:bookmarkStart w:id="37" w:name="_Toc15396606"/>
      <w:r>
        <w:rPr>
          <w:rFonts w:hint="eastAsia" w:ascii="黑体" w:hAnsi="黑体" w:eastAsia="黑体"/>
          <w:sz w:val="32"/>
          <w:szCs w:val="32"/>
        </w:rPr>
        <w:t>四、财</w:t>
      </w:r>
      <w:r>
        <w:rPr>
          <w:rStyle w:val="26"/>
          <w:rFonts w:hint="eastAsia" w:ascii="黑体" w:hAnsi="黑体" w:eastAsia="黑体"/>
          <w:b w:val="0"/>
        </w:rPr>
        <w:t>政拨款收入支出决算总体情况说明</w:t>
      </w:r>
      <w:bookmarkEnd w:id="35"/>
      <w:bookmarkEnd w:id="36"/>
      <w:bookmarkEnd w:id="37"/>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22年财政拨款收、支总计92.62万元。与</w:t>
      </w:r>
      <w:r>
        <w:rPr>
          <w:rFonts w:ascii="仿宋" w:hAnsi="仿宋" w:eastAsia="仿宋"/>
          <w:sz w:val="32"/>
          <w:szCs w:val="32"/>
        </w:rPr>
        <w:t>20</w:t>
      </w:r>
      <w:r>
        <w:rPr>
          <w:rFonts w:hint="eastAsia" w:ascii="仿宋" w:hAnsi="仿宋" w:eastAsia="仿宋"/>
          <w:sz w:val="32"/>
          <w:szCs w:val="32"/>
        </w:rPr>
        <w:t>21年相比，财政拨款收、支总计各减少24.65万元，下降21.02</w:t>
      </w:r>
      <w:r>
        <w:rPr>
          <w:rFonts w:ascii="仿宋" w:hAnsi="仿宋" w:eastAsia="仿宋"/>
          <w:sz w:val="32"/>
          <w:szCs w:val="32"/>
        </w:rPr>
        <w:t>%</w:t>
      </w:r>
      <w:r>
        <w:rPr>
          <w:rFonts w:hint="eastAsia" w:ascii="仿宋" w:hAnsi="仿宋" w:eastAsia="仿宋"/>
          <w:sz w:val="32"/>
          <w:szCs w:val="32"/>
        </w:rPr>
        <w:t>。主要变动原因是财政减少了人员基础绩效奖励金和其他交通费预算。</w:t>
      </w:r>
    </w:p>
    <w:p>
      <w:pPr>
        <w:pStyle w:val="2"/>
        <w:spacing w:before="93"/>
        <w:jc w:val="center"/>
        <w:rPr>
          <w:rFonts w:ascii="仿宋" w:hAnsi="仿宋" w:eastAsia="仿宋"/>
          <w:sz w:val="32"/>
          <w:szCs w:val="32"/>
        </w:rPr>
      </w:pPr>
      <w:r>
        <w:rPr>
          <w:rFonts w:hint="eastAsia" w:ascii="仿宋" w:hAnsi="仿宋" w:eastAsia="仿宋"/>
          <w:sz w:val="32"/>
          <w:szCs w:val="32"/>
        </w:rPr>
        <w:drawing>
          <wp:inline distT="0" distB="0" distL="114300" distR="114300">
            <wp:extent cx="4179570" cy="2136775"/>
            <wp:effectExtent l="19050" t="0" r="10987" b="0"/>
            <wp:docPr id="8" name="图表 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pPr>
        <w:spacing w:line="600" w:lineRule="exact"/>
        <w:ind w:firstLine="1120" w:firstLineChars="350"/>
        <w:rPr>
          <w:rFonts w:ascii="仿宋" w:hAnsi="仿宋" w:eastAsia="仿宋"/>
          <w:sz w:val="32"/>
          <w:szCs w:val="32"/>
        </w:rPr>
      </w:pPr>
      <w:r>
        <w:rPr>
          <w:rFonts w:hint="eastAsia" w:ascii="仿宋" w:hAnsi="仿宋" w:eastAsia="仿宋"/>
          <w:sz w:val="32"/>
          <w:szCs w:val="32"/>
        </w:rPr>
        <w:t>（图4：财政拨款收、支决算总计变动情况）</w:t>
      </w:r>
    </w:p>
    <w:p>
      <w:pPr>
        <w:spacing w:line="600" w:lineRule="exact"/>
        <w:ind w:firstLine="640"/>
        <w:rPr>
          <w:rFonts w:ascii="仿宋" w:hAnsi="仿宋" w:eastAsia="仿宋"/>
          <w:b/>
          <w:sz w:val="32"/>
          <w:szCs w:val="32"/>
        </w:rPr>
      </w:pPr>
    </w:p>
    <w:p>
      <w:pPr>
        <w:spacing w:line="600" w:lineRule="exact"/>
        <w:ind w:firstLine="640" w:firstLineChars="200"/>
        <w:outlineLvl w:val="1"/>
        <w:rPr>
          <w:rStyle w:val="26"/>
          <w:rFonts w:ascii="黑体" w:hAnsi="黑体" w:eastAsia="黑体"/>
          <w:b w:val="0"/>
        </w:rPr>
      </w:pPr>
      <w:bookmarkStart w:id="38" w:name="_Toc26292"/>
      <w:bookmarkStart w:id="39" w:name="_Toc15377209"/>
      <w:bookmarkStart w:id="40" w:name="_Toc15396607"/>
      <w:r>
        <w:rPr>
          <w:rFonts w:hint="eastAsia" w:ascii="黑体" w:hAnsi="黑体" w:eastAsia="黑体"/>
          <w:sz w:val="32"/>
          <w:szCs w:val="32"/>
        </w:rPr>
        <w:t>五、</w:t>
      </w:r>
      <w:r>
        <w:rPr>
          <w:rFonts w:hint="eastAsia" w:ascii="黑体" w:hAnsi="黑体" w:eastAsia="黑体"/>
          <w:b/>
          <w:sz w:val="32"/>
          <w:szCs w:val="32"/>
        </w:rPr>
        <w:t>一</w:t>
      </w:r>
      <w:r>
        <w:rPr>
          <w:rStyle w:val="26"/>
          <w:rFonts w:hint="eastAsia" w:ascii="黑体" w:hAnsi="黑体" w:eastAsia="黑体"/>
          <w:b w:val="0"/>
        </w:rPr>
        <w:t>般公共预算财政拨款支出决算情况说明</w:t>
      </w:r>
      <w:bookmarkEnd w:id="38"/>
      <w:bookmarkEnd w:id="39"/>
      <w:bookmarkEnd w:id="40"/>
    </w:p>
    <w:p>
      <w:pPr>
        <w:spacing w:line="600" w:lineRule="exact"/>
        <w:ind w:firstLine="643" w:firstLineChars="200"/>
        <w:outlineLvl w:val="2"/>
        <w:rPr>
          <w:rFonts w:ascii="楷体" w:hAnsi="楷体" w:eastAsia="楷体"/>
          <w:b/>
          <w:sz w:val="32"/>
          <w:szCs w:val="32"/>
        </w:rPr>
      </w:pPr>
      <w:bookmarkStart w:id="41" w:name="_Toc15377210"/>
      <w:r>
        <w:rPr>
          <w:rFonts w:hint="eastAsia" w:ascii="楷体" w:hAnsi="楷体" w:eastAsia="楷体"/>
          <w:b/>
          <w:sz w:val="32"/>
          <w:szCs w:val="32"/>
        </w:rPr>
        <w:t>（一）一般公共预算财政拨款支出决算总体情况</w:t>
      </w:r>
      <w:bookmarkEnd w:id="41"/>
    </w:p>
    <w:p>
      <w:pPr>
        <w:spacing w:line="600" w:lineRule="exact"/>
        <w:ind w:firstLine="640" w:firstLineChars="20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22年一般公共预算财政拨款支出92.62万元，占本年支出合计的100</w:t>
      </w:r>
      <w:r>
        <w:rPr>
          <w:rFonts w:ascii="仿宋" w:hAnsi="仿宋" w:eastAsia="仿宋"/>
          <w:sz w:val="32"/>
          <w:szCs w:val="32"/>
        </w:rPr>
        <w:t>%</w:t>
      </w:r>
      <w:r>
        <w:rPr>
          <w:rFonts w:hint="eastAsia" w:ascii="仿宋" w:hAnsi="仿宋" w:eastAsia="仿宋"/>
          <w:sz w:val="32"/>
          <w:szCs w:val="32"/>
        </w:rPr>
        <w:t>。与</w:t>
      </w:r>
      <w:r>
        <w:rPr>
          <w:rFonts w:ascii="仿宋" w:hAnsi="仿宋" w:eastAsia="仿宋"/>
          <w:sz w:val="32"/>
          <w:szCs w:val="32"/>
        </w:rPr>
        <w:t>20</w:t>
      </w:r>
      <w:r>
        <w:rPr>
          <w:rFonts w:hint="eastAsia" w:ascii="仿宋" w:hAnsi="仿宋" w:eastAsia="仿宋"/>
          <w:sz w:val="32"/>
          <w:szCs w:val="32"/>
        </w:rPr>
        <w:t>21年相比，一般公共预算财政拨款支出减少24.65万元，下降21.02</w:t>
      </w:r>
      <w:r>
        <w:rPr>
          <w:rFonts w:ascii="仿宋" w:hAnsi="仿宋" w:eastAsia="仿宋"/>
          <w:sz w:val="32"/>
          <w:szCs w:val="32"/>
        </w:rPr>
        <w:t>%</w:t>
      </w:r>
      <w:r>
        <w:rPr>
          <w:rFonts w:hint="eastAsia" w:ascii="仿宋" w:hAnsi="仿宋" w:eastAsia="仿宋"/>
          <w:sz w:val="32"/>
          <w:szCs w:val="32"/>
        </w:rPr>
        <w:t>。主要变动原因是财政减少了人员基础绩效奖励金和其他交通费预算。</w:t>
      </w:r>
    </w:p>
    <w:p>
      <w:pPr>
        <w:pStyle w:val="2"/>
        <w:spacing w:before="93"/>
        <w:jc w:val="center"/>
        <w:rPr>
          <w:rFonts w:ascii="仿宋" w:hAnsi="仿宋" w:eastAsia="仿宋"/>
          <w:sz w:val="32"/>
          <w:szCs w:val="32"/>
        </w:rPr>
      </w:pPr>
      <w:r>
        <w:rPr>
          <w:rFonts w:hint="eastAsia" w:ascii="仿宋" w:hAnsi="仿宋" w:eastAsia="仿宋"/>
          <w:sz w:val="32"/>
          <w:szCs w:val="32"/>
        </w:rPr>
        <w:drawing>
          <wp:inline distT="0" distB="0" distL="114300" distR="114300">
            <wp:extent cx="3961130" cy="2100580"/>
            <wp:effectExtent l="19050" t="0" r="19951" b="0"/>
            <wp:docPr id="10" name="图表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pPr>
        <w:spacing w:line="600" w:lineRule="exact"/>
        <w:ind w:firstLine="980" w:firstLineChars="350"/>
        <w:rPr>
          <w:rFonts w:ascii="仿宋" w:hAnsi="仿宋" w:eastAsia="仿宋"/>
          <w:sz w:val="32"/>
          <w:szCs w:val="32"/>
        </w:rPr>
      </w:pPr>
      <w:r>
        <w:rPr>
          <w:rFonts w:hint="eastAsia" w:ascii="仿宋" w:hAnsi="仿宋" w:eastAsia="仿宋"/>
          <w:spacing w:val="-20"/>
          <w:sz w:val="32"/>
          <w:szCs w:val="32"/>
        </w:rPr>
        <w:t>（图5：一般公共预算财政拨款支出决算变动情况）</w:t>
      </w:r>
    </w:p>
    <w:p>
      <w:pPr>
        <w:spacing w:line="600" w:lineRule="exact"/>
        <w:ind w:firstLine="643" w:firstLineChars="200"/>
        <w:outlineLvl w:val="2"/>
        <w:rPr>
          <w:rFonts w:ascii="楷体" w:hAnsi="楷体" w:eastAsia="楷体"/>
          <w:b/>
          <w:sz w:val="32"/>
          <w:szCs w:val="32"/>
        </w:rPr>
      </w:pPr>
      <w:bookmarkStart w:id="42" w:name="_Toc15377211"/>
      <w:r>
        <w:rPr>
          <w:rFonts w:hint="eastAsia" w:ascii="楷体" w:hAnsi="楷体" w:eastAsia="楷体"/>
          <w:b/>
          <w:sz w:val="32"/>
          <w:szCs w:val="32"/>
        </w:rPr>
        <w:t>（二）一般公共预算财政拨款支出决算结构情况</w:t>
      </w:r>
      <w:bookmarkEnd w:id="42"/>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22年一般公共预算财政拨款支出92.62万元，主要用于以下方面</w:t>
      </w:r>
      <w:r>
        <w:rPr>
          <w:rFonts w:ascii="仿宋" w:hAnsi="仿宋" w:eastAsia="仿宋"/>
          <w:sz w:val="32"/>
          <w:szCs w:val="32"/>
        </w:rPr>
        <w:t>:</w:t>
      </w:r>
      <w:r>
        <w:rPr>
          <w:rFonts w:hint="eastAsia" w:ascii="仿宋" w:hAnsi="仿宋" w:eastAsia="仿宋"/>
          <w:sz w:val="32"/>
          <w:szCs w:val="32"/>
        </w:rPr>
        <w:t>一般公共服务</w:t>
      </w:r>
      <w:r>
        <w:rPr>
          <w:rFonts w:hint="eastAsia" w:ascii="仿宋" w:hAnsi="仿宋" w:eastAsia="仿宋"/>
          <w:bCs/>
          <w:sz w:val="32"/>
          <w:szCs w:val="32"/>
        </w:rPr>
        <w:t>支出</w:t>
      </w:r>
      <w:r>
        <w:rPr>
          <w:rFonts w:hint="eastAsia" w:ascii="仿宋" w:hAnsi="仿宋" w:eastAsia="仿宋"/>
          <w:sz w:val="32"/>
          <w:szCs w:val="32"/>
        </w:rPr>
        <w:t>32.80万元，占35.42</w:t>
      </w:r>
      <w:r>
        <w:rPr>
          <w:rFonts w:ascii="仿宋" w:hAnsi="仿宋" w:eastAsia="仿宋"/>
          <w:sz w:val="32"/>
          <w:szCs w:val="32"/>
        </w:rPr>
        <w:t>%</w:t>
      </w:r>
      <w:r>
        <w:rPr>
          <w:rFonts w:hint="eastAsia" w:ascii="仿宋" w:hAnsi="仿宋" w:eastAsia="仿宋"/>
          <w:sz w:val="32"/>
          <w:szCs w:val="32"/>
        </w:rPr>
        <w:t>；社会保障和就业</w:t>
      </w:r>
      <w:r>
        <w:rPr>
          <w:rFonts w:hint="eastAsia" w:ascii="仿宋" w:hAnsi="仿宋" w:eastAsia="仿宋"/>
          <w:bCs/>
          <w:sz w:val="32"/>
          <w:szCs w:val="32"/>
        </w:rPr>
        <w:t>支出</w:t>
      </w:r>
      <w:r>
        <w:rPr>
          <w:rFonts w:hint="eastAsia" w:ascii="仿宋" w:hAnsi="仿宋" w:eastAsia="仿宋"/>
          <w:sz w:val="32"/>
          <w:szCs w:val="32"/>
        </w:rPr>
        <w:t>20.91万元，占22.57</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卫生健康支出</w:t>
      </w:r>
      <w:r>
        <w:rPr>
          <w:rFonts w:hint="eastAsia" w:ascii="仿宋" w:hAnsi="仿宋" w:eastAsia="仿宋"/>
          <w:sz w:val="32"/>
          <w:szCs w:val="32"/>
        </w:rPr>
        <w:t>18.33万元，占19.79</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Cs/>
          <w:sz w:val="32"/>
          <w:szCs w:val="32"/>
        </w:rPr>
        <w:t>住房保障支出</w:t>
      </w:r>
      <w:r>
        <w:rPr>
          <w:rFonts w:hint="eastAsia" w:ascii="仿宋" w:hAnsi="仿宋" w:eastAsia="仿宋"/>
          <w:sz w:val="32"/>
          <w:szCs w:val="32"/>
        </w:rPr>
        <w:t>20.58万元，占22.22</w:t>
      </w:r>
      <w:r>
        <w:rPr>
          <w:rFonts w:ascii="仿宋" w:hAnsi="仿宋" w:eastAsia="仿宋"/>
          <w:sz w:val="32"/>
          <w:szCs w:val="32"/>
        </w:rPr>
        <w:t>%</w:t>
      </w:r>
      <w:r>
        <w:rPr>
          <w:rFonts w:hint="eastAsia" w:ascii="仿宋" w:hAnsi="仿宋" w:eastAsia="仿宋"/>
          <w:sz w:val="32"/>
          <w:szCs w:val="32"/>
        </w:rPr>
        <w:t>。</w:t>
      </w:r>
    </w:p>
    <w:p>
      <w:pPr>
        <w:pStyle w:val="2"/>
        <w:spacing w:before="93"/>
        <w:jc w:val="center"/>
        <w:rPr>
          <w:rFonts w:ascii="仿宋" w:hAnsi="仿宋" w:eastAsia="仿宋"/>
          <w:sz w:val="32"/>
          <w:szCs w:val="32"/>
        </w:rPr>
      </w:pPr>
      <w:r>
        <w:rPr>
          <w:rFonts w:hint="eastAsia" w:ascii="仿宋" w:hAnsi="仿宋" w:eastAsia="仿宋"/>
          <w:sz w:val="32"/>
          <w:szCs w:val="32"/>
        </w:rPr>
        <w:drawing>
          <wp:inline distT="0" distB="0" distL="114300" distR="114300">
            <wp:extent cx="3989070" cy="2381250"/>
            <wp:effectExtent l="19050" t="0" r="11075" b="0"/>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pPr>
        <w:spacing w:line="600" w:lineRule="exact"/>
        <w:ind w:firstLine="800" w:firstLineChars="250"/>
        <w:rPr>
          <w:rFonts w:ascii="仿宋" w:hAnsi="仿宋" w:eastAsia="仿宋"/>
          <w:sz w:val="32"/>
          <w:szCs w:val="32"/>
        </w:rPr>
      </w:pPr>
      <w:r>
        <w:rPr>
          <w:rFonts w:hint="eastAsia" w:ascii="仿宋" w:hAnsi="仿宋" w:eastAsia="仿宋"/>
          <w:sz w:val="32"/>
          <w:szCs w:val="32"/>
        </w:rPr>
        <w:t>（图6：一般公共预算财政拨款支出决算结构）</w:t>
      </w:r>
    </w:p>
    <w:p>
      <w:pPr>
        <w:spacing w:line="600" w:lineRule="exact"/>
        <w:ind w:firstLine="643" w:firstLineChars="200"/>
        <w:outlineLvl w:val="2"/>
        <w:rPr>
          <w:rFonts w:ascii="楷体" w:hAnsi="楷体" w:eastAsia="楷体"/>
          <w:b/>
          <w:sz w:val="32"/>
          <w:szCs w:val="32"/>
        </w:rPr>
      </w:pPr>
      <w:bookmarkStart w:id="43" w:name="_Toc15377212"/>
      <w:r>
        <w:rPr>
          <w:rFonts w:hint="eastAsia" w:ascii="楷体" w:hAnsi="楷体" w:eastAsia="楷体"/>
          <w:b/>
          <w:sz w:val="32"/>
          <w:szCs w:val="32"/>
        </w:rPr>
        <w:t>（三）一般公共预算财政拨款支出决算具体情况</w:t>
      </w:r>
      <w:bookmarkEnd w:id="43"/>
    </w:p>
    <w:p>
      <w:pPr>
        <w:spacing w:line="600" w:lineRule="exact"/>
        <w:ind w:firstLine="643" w:firstLineChars="200"/>
        <w:outlineLvl w:val="1"/>
        <w:rPr>
          <w:rFonts w:ascii="仿宋" w:hAnsi="仿宋" w:eastAsia="仿宋"/>
          <w:sz w:val="32"/>
          <w:szCs w:val="32"/>
        </w:rPr>
      </w:pPr>
      <w:bookmarkStart w:id="44" w:name="_Toc15377444"/>
      <w:bookmarkStart w:id="45" w:name="_Toc15377213"/>
      <w:bookmarkStart w:id="46" w:name="_Toc4493"/>
      <w:bookmarkStart w:id="47" w:name="_Toc15378460"/>
      <w:r>
        <w:rPr>
          <w:rFonts w:hint="eastAsia" w:ascii="仿宋" w:hAnsi="仿宋" w:eastAsia="仿宋"/>
          <w:b/>
          <w:sz w:val="32"/>
          <w:szCs w:val="32"/>
        </w:rPr>
        <w:t>2022年一般公共预算支出决算数为92.62万元</w:t>
      </w:r>
      <w:r>
        <w:rPr>
          <w:rFonts w:hint="eastAsia" w:ascii="仿宋" w:hAnsi="仿宋" w:eastAsia="仿宋"/>
          <w:sz w:val="32"/>
          <w:szCs w:val="32"/>
        </w:rPr>
        <w:t>，</w:t>
      </w:r>
      <w:r>
        <w:rPr>
          <w:rStyle w:val="15"/>
          <w:rFonts w:hint="eastAsia" w:ascii="仿宋" w:hAnsi="仿宋" w:eastAsia="仿宋"/>
          <w:bCs/>
          <w:sz w:val="32"/>
          <w:szCs w:val="32"/>
        </w:rPr>
        <w:t>完成预算100</w:t>
      </w:r>
      <w:r>
        <w:rPr>
          <w:rStyle w:val="15"/>
          <w:rFonts w:ascii="仿宋" w:hAnsi="仿宋" w:eastAsia="仿宋"/>
          <w:bCs/>
          <w:sz w:val="32"/>
          <w:szCs w:val="32"/>
        </w:rPr>
        <w:t>%</w:t>
      </w:r>
      <w:r>
        <w:rPr>
          <w:rStyle w:val="15"/>
          <w:rFonts w:hint="eastAsia" w:ascii="仿宋" w:hAnsi="仿宋" w:eastAsia="仿宋"/>
          <w:bCs/>
          <w:sz w:val="32"/>
          <w:szCs w:val="32"/>
        </w:rPr>
        <w:t>。其中：</w:t>
      </w:r>
      <w:bookmarkEnd w:id="44"/>
      <w:bookmarkEnd w:id="45"/>
      <w:bookmarkEnd w:id="46"/>
      <w:bookmarkEnd w:id="47"/>
    </w:p>
    <w:p>
      <w:pPr>
        <w:spacing w:line="600" w:lineRule="exact"/>
        <w:ind w:firstLine="640" w:firstLineChars="200"/>
        <w:rPr>
          <w:rFonts w:ascii="仿宋" w:hAnsi="仿宋" w:eastAsia="仿宋"/>
          <w:b/>
          <w:sz w:val="32"/>
          <w:szCs w:val="32"/>
        </w:rPr>
      </w:pPr>
      <w:r>
        <w:rPr>
          <w:rStyle w:val="15"/>
          <w:rFonts w:ascii="仿宋" w:hAnsi="仿宋" w:eastAsia="仿宋"/>
          <w:b w:val="0"/>
          <w:bCs/>
          <w:sz w:val="32"/>
          <w:szCs w:val="32"/>
        </w:rPr>
        <w:t>1.</w:t>
      </w:r>
      <w:r>
        <w:rPr>
          <w:rStyle w:val="15"/>
          <w:rFonts w:hint="eastAsia" w:ascii="仿宋" w:hAnsi="仿宋" w:eastAsia="仿宋"/>
          <w:b w:val="0"/>
          <w:bCs/>
          <w:sz w:val="32"/>
          <w:szCs w:val="32"/>
        </w:rPr>
        <w:t>一般公共服务（类）党委办公厅（室）及相关机构事务（款）行政运行（项）</w:t>
      </w:r>
      <w:r>
        <w:rPr>
          <w:rStyle w:val="15"/>
          <w:rFonts w:ascii="仿宋" w:hAnsi="仿宋" w:eastAsia="仿宋"/>
          <w:b w:val="0"/>
          <w:bCs/>
          <w:sz w:val="32"/>
          <w:szCs w:val="32"/>
        </w:rPr>
        <w:t>:</w:t>
      </w:r>
      <w:r>
        <w:rPr>
          <w:rStyle w:val="15"/>
          <w:rFonts w:hint="eastAsia" w:ascii="仿宋" w:hAnsi="仿宋" w:eastAsia="仿宋"/>
          <w:b w:val="0"/>
          <w:bCs/>
          <w:sz w:val="32"/>
          <w:szCs w:val="32"/>
        </w:rPr>
        <w:t>支出决算为32.80万元，完成预算100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，决算数等于预算数。</w:t>
      </w:r>
    </w:p>
    <w:p>
      <w:pPr>
        <w:spacing w:line="600" w:lineRule="exact"/>
        <w:ind w:firstLine="640" w:firstLineChars="200"/>
        <w:rPr>
          <w:rFonts w:ascii="仿宋" w:hAnsi="仿宋" w:eastAsia="仿宋"/>
          <w:b/>
          <w:sz w:val="32"/>
          <w:szCs w:val="32"/>
        </w:rPr>
      </w:pPr>
      <w:r>
        <w:rPr>
          <w:rStyle w:val="15"/>
          <w:rFonts w:hint="eastAsia" w:ascii="仿宋" w:hAnsi="仿宋" w:eastAsia="仿宋"/>
          <w:b w:val="0"/>
          <w:bCs/>
          <w:sz w:val="32"/>
          <w:szCs w:val="32"/>
        </w:rPr>
        <w:t>2</w:t>
      </w:r>
      <w:r>
        <w:rPr>
          <w:rStyle w:val="15"/>
          <w:rFonts w:ascii="仿宋" w:hAnsi="仿宋" w:eastAsia="仿宋"/>
          <w:b w:val="0"/>
          <w:bCs/>
          <w:sz w:val="32"/>
          <w:szCs w:val="32"/>
        </w:rPr>
        <w:t>.</w:t>
      </w:r>
      <w:r>
        <w:rPr>
          <w:rStyle w:val="15"/>
          <w:rFonts w:hint="eastAsia" w:ascii="仿宋" w:hAnsi="仿宋" w:eastAsia="仿宋"/>
          <w:b w:val="0"/>
          <w:bCs/>
          <w:sz w:val="32"/>
          <w:szCs w:val="32"/>
        </w:rPr>
        <w:t>社会保障和就业（类）行政事业单位养老支出（款）机关事业单位基本养老保险缴费支出（项）</w:t>
      </w:r>
      <w:r>
        <w:rPr>
          <w:rStyle w:val="15"/>
          <w:rFonts w:ascii="仿宋" w:hAnsi="仿宋" w:eastAsia="仿宋"/>
          <w:b w:val="0"/>
          <w:bCs/>
          <w:sz w:val="32"/>
          <w:szCs w:val="32"/>
        </w:rPr>
        <w:t>:</w:t>
      </w:r>
      <w:r>
        <w:rPr>
          <w:rStyle w:val="15"/>
          <w:rFonts w:hint="eastAsia" w:ascii="仿宋" w:hAnsi="仿宋" w:eastAsia="仿宋"/>
          <w:b w:val="0"/>
          <w:bCs/>
          <w:sz w:val="32"/>
          <w:szCs w:val="32"/>
        </w:rPr>
        <w:t>支出决算为20.91万元，完成预算100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，决算数等于预算数。</w:t>
      </w:r>
    </w:p>
    <w:p>
      <w:pPr>
        <w:spacing w:line="600" w:lineRule="exact"/>
        <w:ind w:firstLine="640" w:firstLineChars="200"/>
        <w:rPr>
          <w:rStyle w:val="15"/>
          <w:rFonts w:ascii="仿宋" w:hAnsi="仿宋" w:eastAsia="仿宋"/>
          <w:b w:val="0"/>
          <w:bCs/>
          <w:sz w:val="32"/>
          <w:szCs w:val="32"/>
        </w:rPr>
      </w:pPr>
      <w:r>
        <w:rPr>
          <w:rStyle w:val="15"/>
          <w:rFonts w:hint="eastAsia" w:ascii="仿宋" w:hAnsi="仿宋" w:eastAsia="仿宋"/>
          <w:b w:val="0"/>
          <w:bCs/>
          <w:sz w:val="32"/>
          <w:szCs w:val="32"/>
        </w:rPr>
        <w:t>3</w:t>
      </w:r>
      <w:r>
        <w:rPr>
          <w:rStyle w:val="15"/>
          <w:rFonts w:ascii="仿宋" w:hAnsi="仿宋" w:eastAsia="仿宋"/>
          <w:b w:val="0"/>
          <w:bCs/>
          <w:sz w:val="32"/>
          <w:szCs w:val="32"/>
        </w:rPr>
        <w:t>.</w:t>
      </w:r>
      <w:r>
        <w:rPr>
          <w:rFonts w:hint="eastAsia" w:ascii="仿宋" w:hAnsi="仿宋" w:eastAsia="仿宋"/>
          <w:bCs/>
          <w:sz w:val="32"/>
          <w:szCs w:val="32"/>
        </w:rPr>
        <w:t>卫生健康</w:t>
      </w:r>
      <w:r>
        <w:rPr>
          <w:rStyle w:val="15"/>
          <w:rFonts w:hint="eastAsia" w:ascii="仿宋" w:hAnsi="仿宋" w:eastAsia="仿宋"/>
          <w:b w:val="0"/>
          <w:bCs/>
          <w:sz w:val="32"/>
          <w:szCs w:val="32"/>
        </w:rPr>
        <w:t>（类）行政事业单位医疗（款）行政单位医疗（项）</w:t>
      </w:r>
      <w:r>
        <w:rPr>
          <w:rStyle w:val="15"/>
          <w:rFonts w:ascii="仿宋" w:hAnsi="仿宋" w:eastAsia="仿宋"/>
          <w:b w:val="0"/>
          <w:bCs/>
          <w:sz w:val="32"/>
          <w:szCs w:val="32"/>
        </w:rPr>
        <w:t>:</w:t>
      </w:r>
      <w:r>
        <w:rPr>
          <w:rStyle w:val="15"/>
          <w:rFonts w:hint="eastAsia" w:ascii="仿宋" w:hAnsi="仿宋" w:eastAsia="仿宋"/>
          <w:b w:val="0"/>
          <w:bCs/>
          <w:sz w:val="32"/>
          <w:szCs w:val="32"/>
        </w:rPr>
        <w:t>支出决算为16.12万元，完成预算100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，决算数等于预算数；</w:t>
      </w:r>
    </w:p>
    <w:p>
      <w:pPr>
        <w:spacing w:line="600" w:lineRule="exact"/>
        <w:ind w:firstLine="640" w:firstLineChars="200"/>
        <w:rPr>
          <w:rFonts w:ascii="仿宋" w:hAnsi="仿宋" w:eastAsia="仿宋"/>
          <w:b/>
          <w:sz w:val="32"/>
          <w:szCs w:val="32"/>
        </w:rPr>
      </w:pPr>
      <w:r>
        <w:rPr>
          <w:rStyle w:val="15"/>
          <w:rFonts w:hint="eastAsia" w:ascii="仿宋" w:hAnsi="仿宋" w:eastAsia="仿宋"/>
          <w:b w:val="0"/>
          <w:bCs/>
          <w:sz w:val="32"/>
          <w:szCs w:val="32"/>
        </w:rPr>
        <w:t>4.</w:t>
      </w:r>
      <w:r>
        <w:rPr>
          <w:rFonts w:hint="eastAsia" w:ascii="仿宋" w:hAnsi="仿宋" w:eastAsia="仿宋"/>
          <w:bCs/>
          <w:sz w:val="32"/>
          <w:szCs w:val="32"/>
        </w:rPr>
        <w:t>卫生健康</w:t>
      </w:r>
      <w:r>
        <w:rPr>
          <w:rStyle w:val="15"/>
          <w:rFonts w:hint="eastAsia" w:ascii="仿宋" w:hAnsi="仿宋" w:eastAsia="仿宋"/>
          <w:b w:val="0"/>
          <w:bCs/>
          <w:sz w:val="32"/>
          <w:szCs w:val="32"/>
        </w:rPr>
        <w:t>（类）行政事业单位医疗（款）公务员医疗补助（项）：支出决算为2.21万元，完成预算100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，决算数等于预算数。</w:t>
      </w:r>
    </w:p>
    <w:p>
      <w:pPr>
        <w:spacing w:line="600" w:lineRule="exact"/>
        <w:ind w:firstLine="640" w:firstLineChars="200"/>
        <w:rPr>
          <w:rFonts w:ascii="仿宋" w:hAnsi="仿宋" w:eastAsia="仿宋"/>
          <w:sz w:val="32"/>
          <w:szCs w:val="32"/>
        </w:rPr>
      </w:pPr>
      <w:r>
        <w:rPr>
          <w:rStyle w:val="15"/>
          <w:rFonts w:hint="eastAsia" w:ascii="仿宋" w:hAnsi="仿宋" w:eastAsia="仿宋"/>
          <w:b w:val="0"/>
          <w:bCs/>
          <w:sz w:val="32"/>
          <w:szCs w:val="32"/>
        </w:rPr>
        <w:t>5</w:t>
      </w:r>
      <w:r>
        <w:rPr>
          <w:rStyle w:val="15"/>
          <w:rFonts w:ascii="仿宋" w:hAnsi="仿宋" w:eastAsia="仿宋"/>
          <w:b w:val="0"/>
          <w:bCs/>
          <w:sz w:val="32"/>
          <w:szCs w:val="32"/>
        </w:rPr>
        <w:t>.</w:t>
      </w:r>
      <w:r>
        <w:rPr>
          <w:rFonts w:hint="eastAsia" w:ascii="仿宋" w:hAnsi="仿宋" w:eastAsia="仿宋"/>
          <w:bCs/>
          <w:sz w:val="32"/>
          <w:szCs w:val="32"/>
        </w:rPr>
        <w:t>住房保障</w:t>
      </w:r>
      <w:r>
        <w:rPr>
          <w:rStyle w:val="15"/>
          <w:rFonts w:hint="eastAsia" w:ascii="仿宋" w:hAnsi="仿宋" w:eastAsia="仿宋"/>
          <w:b w:val="0"/>
          <w:bCs/>
          <w:sz w:val="32"/>
          <w:szCs w:val="32"/>
        </w:rPr>
        <w:t>（类）住房改革支出（款）住房公积金（项）</w:t>
      </w:r>
      <w:r>
        <w:rPr>
          <w:rStyle w:val="15"/>
          <w:rFonts w:ascii="仿宋" w:hAnsi="仿宋" w:eastAsia="仿宋"/>
          <w:b w:val="0"/>
          <w:bCs/>
          <w:sz w:val="32"/>
          <w:szCs w:val="32"/>
        </w:rPr>
        <w:t>:</w:t>
      </w:r>
      <w:r>
        <w:rPr>
          <w:rStyle w:val="15"/>
          <w:rFonts w:hint="eastAsia" w:ascii="仿宋" w:hAnsi="仿宋" w:eastAsia="仿宋"/>
          <w:b w:val="0"/>
          <w:bCs/>
          <w:sz w:val="32"/>
          <w:szCs w:val="32"/>
        </w:rPr>
        <w:t>支出决算为20.58万元，完成预算100</w:t>
      </w:r>
      <w:r>
        <w:rPr>
          <w:rStyle w:val="15"/>
          <w:rFonts w:ascii="仿宋" w:hAnsi="仿宋" w:eastAsia="仿宋"/>
          <w:b w:val="0"/>
          <w:bCs/>
          <w:sz w:val="32"/>
          <w:szCs w:val="32"/>
        </w:rPr>
        <w:t>%</w:t>
      </w:r>
      <w:r>
        <w:rPr>
          <w:rStyle w:val="15"/>
          <w:rFonts w:hint="eastAsia" w:ascii="仿宋" w:hAnsi="仿宋" w:eastAsia="仿宋"/>
          <w:b w:val="0"/>
          <w:bCs/>
          <w:sz w:val="32"/>
          <w:szCs w:val="32"/>
        </w:rPr>
        <w:t>，决算数等于预算数。</w:t>
      </w:r>
    </w:p>
    <w:p>
      <w:pPr>
        <w:tabs>
          <w:tab w:val="right" w:pos="8306"/>
        </w:tabs>
        <w:spacing w:line="600" w:lineRule="exact"/>
        <w:ind w:firstLine="640"/>
        <w:outlineLvl w:val="1"/>
        <w:rPr>
          <w:rStyle w:val="26"/>
        </w:rPr>
      </w:pPr>
      <w:bookmarkStart w:id="48" w:name="_Toc18656"/>
      <w:bookmarkStart w:id="49" w:name="_Toc15377214"/>
      <w:bookmarkStart w:id="50" w:name="_Toc15396608"/>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26"/>
          <w:rFonts w:hint="eastAsia" w:ascii="黑体" w:hAnsi="黑体" w:eastAsia="黑体"/>
          <w:b w:val="0"/>
        </w:rPr>
        <w:t>般公共预算财政拨款基本支出决算情况说明</w:t>
      </w:r>
      <w:bookmarkEnd w:id="48"/>
      <w:bookmarkEnd w:id="49"/>
      <w:bookmarkEnd w:id="50"/>
      <w:r>
        <w:rPr>
          <w:rStyle w:val="26"/>
          <w:rFonts w:ascii="黑体" w:hAnsi="黑体" w:eastAsia="黑体"/>
          <w:b w:val="0"/>
        </w:rPr>
        <w:tab/>
      </w:r>
    </w:p>
    <w:p>
      <w:pPr>
        <w:spacing w:line="600" w:lineRule="exact"/>
        <w:ind w:firstLine="645"/>
        <w:rPr>
          <w:rFonts w:ascii="仿宋" w:hAnsi="仿宋" w:eastAsia="仿宋"/>
          <w:spacing w:val="-20"/>
          <w:sz w:val="32"/>
          <w:szCs w:val="32"/>
        </w:rPr>
      </w:pPr>
      <w:r>
        <w:rPr>
          <w:rFonts w:ascii="仿宋" w:hAnsi="仿宋" w:eastAsia="仿宋"/>
          <w:spacing w:val="-20"/>
          <w:sz w:val="32"/>
          <w:szCs w:val="32"/>
        </w:rPr>
        <w:t>20</w:t>
      </w:r>
      <w:r>
        <w:rPr>
          <w:rFonts w:hint="eastAsia" w:ascii="仿宋" w:hAnsi="仿宋" w:eastAsia="仿宋"/>
          <w:spacing w:val="-20"/>
          <w:sz w:val="32"/>
          <w:szCs w:val="32"/>
        </w:rPr>
        <w:t>22年一般公共预算财政拨款基本支出</w:t>
      </w:r>
      <w:r>
        <w:rPr>
          <w:rFonts w:hint="eastAsia" w:ascii="仿宋" w:hAnsi="仿宋" w:eastAsia="仿宋"/>
          <w:sz w:val="32"/>
          <w:szCs w:val="32"/>
        </w:rPr>
        <w:t>92.62</w:t>
      </w:r>
      <w:r>
        <w:rPr>
          <w:rFonts w:hint="eastAsia" w:ascii="仿宋" w:hAnsi="仿宋" w:eastAsia="仿宋"/>
          <w:spacing w:val="-20"/>
          <w:sz w:val="32"/>
          <w:szCs w:val="32"/>
        </w:rPr>
        <w:t>万元，其中：</w:t>
      </w:r>
    </w:p>
    <w:p>
      <w:pPr>
        <w:spacing w:line="600" w:lineRule="exact"/>
        <w:ind w:firstLine="645"/>
        <w:rPr>
          <w:rFonts w:ascii="仿宋" w:hAnsi="仿宋" w:eastAsia="仿宋"/>
          <w:b/>
          <w:sz w:val="32"/>
          <w:szCs w:val="32"/>
        </w:rPr>
      </w:pPr>
      <w:r>
        <w:rPr>
          <w:rFonts w:hint="eastAsia" w:ascii="仿宋" w:hAnsi="仿宋" w:eastAsia="仿宋"/>
          <w:sz w:val="32"/>
          <w:szCs w:val="32"/>
        </w:rPr>
        <w:t>人员经费92.62万元，主要包括：奖金、机关事业单位基本养老保险缴费、职工基本医疗保险缴费、公务员医疗补助缴费、住房公积金、其他工资福利支出。</w:t>
      </w:r>
    </w:p>
    <w:p>
      <w:pPr>
        <w:spacing w:line="600" w:lineRule="exact"/>
        <w:ind w:firstLine="640"/>
        <w:outlineLvl w:val="1"/>
        <w:rPr>
          <w:rStyle w:val="26"/>
          <w:rFonts w:ascii="黑体" w:hAnsi="黑体" w:eastAsia="黑体"/>
          <w:b w:val="0"/>
        </w:rPr>
      </w:pPr>
      <w:bookmarkStart w:id="51" w:name="_Toc10112"/>
      <w:bookmarkStart w:id="52" w:name="_Toc15396609"/>
      <w:bookmarkStart w:id="53" w:name="_Toc15377215"/>
      <w:r>
        <w:rPr>
          <w:rFonts w:hint="eastAsia" w:ascii="黑体" w:eastAsia="黑体"/>
          <w:sz w:val="32"/>
          <w:szCs w:val="32"/>
        </w:rPr>
        <w:t>七、</w:t>
      </w:r>
      <w:r>
        <w:rPr>
          <w:rStyle w:val="26"/>
          <w:rFonts w:hint="eastAsia" w:ascii="黑体" w:hAnsi="黑体" w:eastAsia="黑体"/>
          <w:b w:val="0"/>
        </w:rPr>
        <w:t>财政拨款</w:t>
      </w:r>
      <w:r>
        <w:rPr>
          <w:rStyle w:val="26"/>
          <w:rFonts w:hint="eastAsia" w:ascii="黑体" w:hAnsi="黑体" w:eastAsia="黑体"/>
        </w:rPr>
        <w:t>“</w:t>
      </w:r>
      <w:r>
        <w:rPr>
          <w:rStyle w:val="26"/>
          <w:rFonts w:hint="eastAsia" w:ascii="黑体" w:hAnsi="黑体" w:eastAsia="黑体"/>
          <w:b w:val="0"/>
        </w:rPr>
        <w:t>三公”经费支出决算情况说明</w:t>
      </w:r>
      <w:bookmarkEnd w:id="51"/>
      <w:bookmarkEnd w:id="52"/>
      <w:bookmarkEnd w:id="53"/>
    </w:p>
    <w:p>
      <w:pPr>
        <w:spacing w:line="600" w:lineRule="exact"/>
        <w:ind w:firstLine="640"/>
        <w:outlineLvl w:val="2"/>
        <w:rPr>
          <w:rFonts w:ascii="仿宋" w:hAnsi="仿宋" w:eastAsia="仿宋"/>
          <w:b/>
          <w:sz w:val="32"/>
          <w:szCs w:val="32"/>
        </w:rPr>
      </w:pPr>
      <w:bookmarkStart w:id="54" w:name="_Toc15377216"/>
      <w:r>
        <w:rPr>
          <w:rFonts w:hint="eastAsia" w:ascii="仿宋" w:hAnsi="仿宋" w:eastAsia="仿宋"/>
          <w:b/>
          <w:sz w:val="32"/>
          <w:szCs w:val="32"/>
        </w:rPr>
        <w:t>（一）“三公”经费财政拨款支出决算总体情况说明</w:t>
      </w:r>
      <w:bookmarkEnd w:id="54"/>
    </w:p>
    <w:p>
      <w:pPr>
        <w:spacing w:line="576" w:lineRule="exact"/>
        <w:ind w:firstLine="645"/>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22年省直机关工会无“三公”经费财政拨款支出预算。，</w:t>
      </w:r>
      <w:r>
        <w:rPr>
          <w:rFonts w:ascii="仿宋" w:hAnsi="仿宋" w:eastAsia="仿宋"/>
          <w:sz w:val="32"/>
          <w:szCs w:val="32"/>
        </w:rPr>
        <w:t xml:space="preserve"> </w:t>
      </w:r>
    </w:p>
    <w:p>
      <w:pPr>
        <w:spacing w:line="600" w:lineRule="exact"/>
        <w:ind w:firstLine="640"/>
        <w:outlineLvl w:val="2"/>
        <w:rPr>
          <w:rFonts w:ascii="仿宋" w:hAnsi="仿宋" w:eastAsia="仿宋"/>
          <w:b/>
          <w:sz w:val="32"/>
          <w:szCs w:val="32"/>
        </w:rPr>
      </w:pPr>
      <w:bookmarkStart w:id="55" w:name="_Toc15377217"/>
      <w:r>
        <w:rPr>
          <w:rFonts w:hint="eastAsia" w:ascii="仿宋" w:hAnsi="仿宋" w:eastAsia="仿宋"/>
          <w:b/>
          <w:sz w:val="32"/>
          <w:szCs w:val="32"/>
        </w:rPr>
        <w:t>（二）“三公”经费财政拨款支出决算具体情况说明</w:t>
      </w:r>
      <w:bookmarkEnd w:id="55"/>
    </w:p>
    <w:p>
      <w:pPr>
        <w:spacing w:line="600" w:lineRule="exact"/>
        <w:ind w:firstLine="640"/>
        <w:rPr>
          <w:rFonts w:ascii="仿宋" w:hAnsi="仿宋" w:eastAsia="仿宋"/>
          <w:sz w:val="32"/>
          <w:szCs w:val="32"/>
        </w:rPr>
      </w:pPr>
      <w:r>
        <w:rPr>
          <w:rFonts w:ascii="仿宋" w:hAnsi="仿宋" w:eastAsia="仿宋"/>
          <w:sz w:val="32"/>
          <w:szCs w:val="32"/>
        </w:rPr>
        <w:t>20</w:t>
      </w:r>
      <w:r>
        <w:rPr>
          <w:rFonts w:hint="eastAsia" w:ascii="仿宋" w:hAnsi="仿宋" w:eastAsia="仿宋"/>
          <w:sz w:val="32"/>
          <w:szCs w:val="32"/>
        </w:rPr>
        <w:t>22年“三公”经费财政拨款支出决算中，因公出国（境）费支出决算0万元，占0</w:t>
      </w:r>
      <w:r>
        <w:rPr>
          <w:rFonts w:ascii="仿宋" w:hAnsi="仿宋" w:eastAsia="仿宋"/>
          <w:sz w:val="32"/>
          <w:szCs w:val="32"/>
        </w:rPr>
        <w:t>%</w:t>
      </w:r>
      <w:r>
        <w:rPr>
          <w:rFonts w:hint="eastAsia" w:ascii="仿宋" w:hAnsi="仿宋" w:eastAsia="仿宋"/>
          <w:sz w:val="32"/>
          <w:szCs w:val="32"/>
        </w:rPr>
        <w:t>；公务用车购置及运行维护费支出决算0万元，占0</w:t>
      </w:r>
      <w:r>
        <w:rPr>
          <w:rFonts w:ascii="仿宋" w:hAnsi="仿宋" w:eastAsia="仿宋"/>
          <w:sz w:val="32"/>
          <w:szCs w:val="32"/>
        </w:rPr>
        <w:t>%</w:t>
      </w:r>
      <w:r>
        <w:rPr>
          <w:rFonts w:hint="eastAsia" w:ascii="仿宋" w:hAnsi="仿宋" w:eastAsia="仿宋"/>
          <w:sz w:val="32"/>
          <w:szCs w:val="32"/>
        </w:rPr>
        <w:t>；公务接待费支出决算0万元，占0</w:t>
      </w:r>
      <w:r>
        <w:rPr>
          <w:rFonts w:ascii="仿宋" w:hAnsi="仿宋" w:eastAsia="仿宋"/>
          <w:sz w:val="32"/>
          <w:szCs w:val="32"/>
        </w:rPr>
        <w:t>%</w:t>
      </w:r>
      <w:r>
        <w:rPr>
          <w:rFonts w:hint="eastAsia" w:ascii="仿宋" w:hAnsi="仿宋" w:eastAsia="仿宋"/>
          <w:sz w:val="32"/>
          <w:szCs w:val="32"/>
        </w:rPr>
        <w:t>。具体情况如下：</w:t>
      </w:r>
    </w:p>
    <w:p>
      <w:pPr>
        <w:pStyle w:val="2"/>
        <w:spacing w:before="93"/>
        <w:jc w:val="center"/>
      </w:pPr>
      <w:r>
        <w:rPr>
          <w:rFonts w:hint="eastAsia" w:ascii="仿宋" w:hAnsi="仿宋" w:eastAsia="仿宋"/>
          <w:sz w:val="32"/>
          <w:szCs w:val="32"/>
        </w:rPr>
        <w:drawing>
          <wp:inline distT="0" distB="0" distL="114300" distR="114300">
            <wp:extent cx="3876040" cy="2164080"/>
            <wp:effectExtent l="19050" t="0" r="9761" b="7103"/>
            <wp:docPr id="1"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bookmarkStart w:id="103" w:name="_GoBack"/>
      <w:bookmarkEnd w:id="103"/>
    </w:p>
    <w:p>
      <w:pPr>
        <w:spacing w:line="60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pPr>
        <w:spacing w:line="600" w:lineRule="exact"/>
        <w:ind w:firstLine="640"/>
        <w:rPr>
          <w:rFonts w:ascii="仿宋_GB2312" w:eastAsia="仿宋_GB2312"/>
          <w:sz w:val="32"/>
          <w:szCs w:val="32"/>
        </w:rPr>
      </w:pPr>
      <w:r>
        <w:rPr>
          <w:rFonts w:ascii="仿宋_GB2312" w:eastAsia="仿宋_GB2312"/>
          <w:sz w:val="32"/>
          <w:szCs w:val="32"/>
        </w:rPr>
        <w:t>1.</w:t>
      </w:r>
      <w:r>
        <w:rPr>
          <w:rFonts w:hint="eastAsia" w:ascii="仿宋_GB2312" w:eastAsia="仿宋_GB2312"/>
          <w:sz w:val="32"/>
          <w:szCs w:val="32"/>
        </w:rPr>
        <w:t>因公出国（境）经费支出0万元，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600" w:lineRule="exact"/>
        <w:ind w:firstLine="640"/>
        <w:rPr>
          <w:rFonts w:ascii="仿宋_GB2312" w:eastAsia="仿宋_GB2312"/>
          <w:sz w:val="32"/>
          <w:szCs w:val="32"/>
        </w:rPr>
      </w:pPr>
      <w:r>
        <w:rPr>
          <w:rFonts w:ascii="仿宋_GB2312" w:eastAsia="仿宋_GB2312"/>
          <w:sz w:val="32"/>
          <w:szCs w:val="32"/>
        </w:rPr>
        <w:t>2.</w:t>
      </w:r>
      <w:r>
        <w:rPr>
          <w:rFonts w:hint="eastAsia" w:ascii="仿宋_GB2312" w:eastAsia="仿宋_GB2312"/>
          <w:sz w:val="32"/>
          <w:szCs w:val="32"/>
        </w:rPr>
        <w:t>公务用车购置及运行维护费支出0万元,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p>
    <w:p>
      <w:pPr>
        <w:spacing w:line="576" w:lineRule="exact"/>
        <w:ind w:firstLine="640"/>
        <w:rPr>
          <w:rFonts w:ascii="黑体" w:eastAsia="黑体"/>
          <w:sz w:val="32"/>
          <w:szCs w:val="32"/>
        </w:rPr>
      </w:pPr>
      <w:r>
        <w:rPr>
          <w:rFonts w:ascii="仿宋_GB2312" w:eastAsia="仿宋_GB2312"/>
          <w:sz w:val="32"/>
          <w:szCs w:val="32"/>
        </w:rPr>
        <w:t>3.</w:t>
      </w:r>
      <w:r>
        <w:rPr>
          <w:rFonts w:hint="eastAsia" w:ascii="仿宋_GB2312" w:eastAsia="仿宋_GB2312"/>
          <w:sz w:val="32"/>
          <w:szCs w:val="32"/>
        </w:rPr>
        <w:t>公务接待费支出0</w:t>
      </w:r>
      <w:r>
        <w:rPr>
          <w:rFonts w:hint="eastAsia" w:ascii="仿宋_GB2312" w:eastAsia="仿宋_GB2312"/>
          <w:sz w:val="32"/>
          <w:szCs w:val="32"/>
          <w:lang w:val="en-US" w:eastAsia="zh-CN"/>
        </w:rPr>
        <w:t>万</w:t>
      </w:r>
      <w:r>
        <w:rPr>
          <w:rFonts w:hint="eastAsia" w:ascii="仿宋_GB2312" w:eastAsia="仿宋_GB2312"/>
          <w:sz w:val="32"/>
          <w:szCs w:val="32"/>
        </w:rPr>
        <w:t>元，</w:t>
      </w:r>
      <w:r>
        <w:rPr>
          <w:rStyle w:val="15"/>
          <w:rFonts w:hint="eastAsia" w:ascii="仿宋" w:hAnsi="仿宋" w:eastAsia="仿宋"/>
          <w:b w:val="0"/>
          <w:bCs/>
          <w:sz w:val="32"/>
          <w:szCs w:val="32"/>
        </w:rPr>
        <w:t>完成预算100</w:t>
      </w:r>
      <w:r>
        <w:rPr>
          <w:rStyle w:val="15"/>
          <w:rFonts w:ascii="仿宋" w:hAnsi="仿宋" w:eastAsia="仿宋"/>
          <w:b w:val="0"/>
          <w:bCs/>
          <w:sz w:val="32"/>
          <w:szCs w:val="32"/>
        </w:rPr>
        <w:t>%</w:t>
      </w:r>
      <w:r>
        <w:rPr>
          <w:rStyle w:val="15"/>
          <w:rFonts w:hint="eastAsia" w:ascii="仿宋" w:hAnsi="仿宋" w:eastAsia="仿宋"/>
          <w:b w:val="0"/>
          <w:bCs/>
          <w:sz w:val="32"/>
          <w:szCs w:val="32"/>
        </w:rPr>
        <w:t>。</w:t>
      </w:r>
      <w:bookmarkStart w:id="56" w:name="_Toc15396610"/>
      <w:bookmarkStart w:id="57" w:name="_Toc15377218"/>
    </w:p>
    <w:p>
      <w:pPr>
        <w:spacing w:line="600" w:lineRule="exact"/>
        <w:ind w:firstLine="640"/>
        <w:outlineLvl w:val="1"/>
        <w:rPr>
          <w:rStyle w:val="26"/>
          <w:rFonts w:ascii="黑体" w:hAnsi="黑体" w:eastAsia="黑体"/>
        </w:rPr>
      </w:pPr>
      <w:bookmarkStart w:id="58" w:name="_Toc14664"/>
      <w:r>
        <w:rPr>
          <w:rFonts w:hint="eastAsia" w:ascii="黑体" w:eastAsia="黑体"/>
          <w:sz w:val="32"/>
          <w:szCs w:val="32"/>
        </w:rPr>
        <w:t>八、</w:t>
      </w:r>
      <w:r>
        <w:rPr>
          <w:rStyle w:val="26"/>
          <w:rFonts w:hint="eastAsia" w:ascii="黑体" w:hAnsi="黑体" w:eastAsia="黑体"/>
          <w:b w:val="0"/>
        </w:rPr>
        <w:t>政府性基金预算支出决算情况说明</w:t>
      </w:r>
      <w:bookmarkEnd w:id="56"/>
      <w:bookmarkEnd w:id="57"/>
      <w:bookmarkEnd w:id="58"/>
    </w:p>
    <w:p>
      <w:pPr>
        <w:spacing w:line="600" w:lineRule="exact"/>
        <w:ind w:firstLine="64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22年政府性基金预算财政拨款支出0万元。</w:t>
      </w:r>
    </w:p>
    <w:p>
      <w:pPr>
        <w:numPr>
          <w:ilvl w:val="0"/>
          <w:numId w:val="2"/>
        </w:numPr>
        <w:spacing w:line="600" w:lineRule="exact"/>
        <w:ind w:firstLine="640"/>
        <w:outlineLvl w:val="1"/>
        <w:rPr>
          <w:rStyle w:val="26"/>
          <w:rFonts w:ascii="黑体" w:hAnsi="黑体" w:eastAsia="黑体"/>
          <w:b w:val="0"/>
        </w:rPr>
      </w:pPr>
      <w:bookmarkStart w:id="59" w:name="_Toc15377219"/>
      <w:bookmarkStart w:id="60" w:name="_Toc2218"/>
      <w:bookmarkStart w:id="61" w:name="_Toc15396611"/>
      <w:r>
        <w:rPr>
          <w:rStyle w:val="26"/>
          <w:rFonts w:hint="eastAsia" w:ascii="黑体" w:hAnsi="黑体" w:eastAsia="黑体"/>
          <w:b w:val="0"/>
        </w:rPr>
        <w:t>国有资本经营预算支出决算情况说明</w:t>
      </w:r>
      <w:bookmarkEnd w:id="59"/>
      <w:bookmarkEnd w:id="60"/>
      <w:bookmarkEnd w:id="61"/>
    </w:p>
    <w:p>
      <w:pPr>
        <w:spacing w:line="600" w:lineRule="exact"/>
        <w:ind w:firstLine="640"/>
        <w:rPr>
          <w:rFonts w:ascii="方正小标宋简体" w:hAnsi="方正小标宋简体" w:eastAsia="方正小标宋简体" w:cs="方正小标宋简体"/>
          <w:sz w:val="44"/>
          <w:szCs w:val="44"/>
        </w:rPr>
      </w:pPr>
      <w:r>
        <w:rPr>
          <w:rFonts w:ascii="仿宋_GB2312" w:eastAsia="仿宋_GB2312"/>
          <w:sz w:val="32"/>
          <w:szCs w:val="32"/>
        </w:rPr>
        <w:t>20</w:t>
      </w:r>
      <w:r>
        <w:rPr>
          <w:rFonts w:hint="eastAsia" w:ascii="仿宋_GB2312" w:eastAsia="仿宋_GB2312"/>
          <w:sz w:val="32"/>
          <w:szCs w:val="32"/>
        </w:rPr>
        <w:t>22年国有资本经营预算财政拨款支出0万元。</w:t>
      </w:r>
    </w:p>
    <w:p>
      <w:pPr>
        <w:numPr>
          <w:ilvl w:val="0"/>
          <w:numId w:val="2"/>
        </w:numPr>
        <w:spacing w:line="600" w:lineRule="exact"/>
        <w:ind w:firstLine="640"/>
        <w:outlineLvl w:val="1"/>
        <w:rPr>
          <w:rStyle w:val="26"/>
          <w:rFonts w:ascii="黑体" w:hAnsi="黑体" w:eastAsia="黑体"/>
          <w:b w:val="0"/>
        </w:rPr>
      </w:pPr>
      <w:bookmarkStart w:id="62" w:name="_Toc9032"/>
      <w:bookmarkStart w:id="63" w:name="_Toc15396612"/>
      <w:bookmarkStart w:id="64" w:name="_Toc15377221"/>
      <w:r>
        <w:rPr>
          <w:rStyle w:val="26"/>
          <w:rFonts w:hint="eastAsia" w:ascii="黑体" w:hAnsi="黑体" w:eastAsia="黑体"/>
          <w:b w:val="0"/>
        </w:rPr>
        <w:t>其他重要事项的情况说明</w:t>
      </w:r>
      <w:bookmarkEnd w:id="62"/>
      <w:bookmarkEnd w:id="63"/>
      <w:bookmarkEnd w:id="64"/>
    </w:p>
    <w:p>
      <w:pPr>
        <w:spacing w:line="600" w:lineRule="exact"/>
        <w:ind w:firstLine="643" w:firstLineChars="200"/>
        <w:outlineLvl w:val="2"/>
        <w:rPr>
          <w:rFonts w:ascii="仿宋" w:hAnsi="仿宋" w:eastAsia="仿宋"/>
          <w:sz w:val="32"/>
          <w:szCs w:val="32"/>
        </w:rPr>
      </w:pPr>
      <w:bookmarkStart w:id="65" w:name="_Toc15377222"/>
      <w:r>
        <w:rPr>
          <w:rFonts w:hint="eastAsia" w:ascii="仿宋" w:hAnsi="仿宋" w:eastAsia="仿宋"/>
          <w:b/>
          <w:sz w:val="32"/>
          <w:szCs w:val="32"/>
        </w:rPr>
        <w:t>（一）机关运行经费支出情况</w:t>
      </w:r>
      <w:bookmarkEnd w:id="65"/>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22年，省直机关工会机关运行经费支出0万元。</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6" w:name="_Toc15377223"/>
      <w:r>
        <w:rPr>
          <w:rFonts w:hint="eastAsia" w:ascii="仿宋" w:hAnsi="仿宋" w:eastAsia="仿宋"/>
          <w:b/>
          <w:sz w:val="32"/>
          <w:szCs w:val="32"/>
        </w:rPr>
        <w:t>（二）政府采购支出情况</w:t>
      </w:r>
      <w:bookmarkEnd w:id="66"/>
    </w:p>
    <w:p>
      <w:pPr>
        <w:spacing w:line="600" w:lineRule="exact"/>
        <w:ind w:firstLine="640" w:firstLineChars="200"/>
        <w:rPr>
          <w:rFonts w:ascii="仿宋_GB2312" w:eastAsia="仿宋_GB2312"/>
          <w:sz w:val="32"/>
          <w:szCs w:val="32"/>
        </w:rPr>
      </w:pPr>
      <w:r>
        <w:rPr>
          <w:rFonts w:ascii="仿宋_GB2312" w:eastAsia="仿宋_GB2312"/>
          <w:sz w:val="32"/>
          <w:szCs w:val="32"/>
        </w:rPr>
        <w:t>20</w:t>
      </w:r>
      <w:r>
        <w:rPr>
          <w:rFonts w:hint="eastAsia" w:ascii="仿宋_GB2312" w:eastAsia="仿宋_GB2312"/>
          <w:sz w:val="32"/>
          <w:szCs w:val="32"/>
        </w:rPr>
        <w:t>22年，省直机关工会政府采购支出总额0万元。</w:t>
      </w:r>
    </w:p>
    <w:p>
      <w:pPr>
        <w:autoSpaceDE w:val="0"/>
        <w:autoSpaceDN w:val="0"/>
        <w:adjustRightInd w:val="0"/>
        <w:spacing w:line="600" w:lineRule="exact"/>
        <w:ind w:firstLine="643" w:firstLineChars="200"/>
        <w:jc w:val="left"/>
        <w:outlineLvl w:val="2"/>
        <w:rPr>
          <w:rFonts w:ascii="仿宋" w:hAnsi="仿宋" w:eastAsia="仿宋"/>
          <w:b/>
          <w:sz w:val="32"/>
          <w:szCs w:val="32"/>
        </w:rPr>
      </w:pPr>
      <w:bookmarkStart w:id="67" w:name="_Toc15377224"/>
      <w:r>
        <w:rPr>
          <w:rFonts w:hint="eastAsia" w:ascii="仿宋" w:hAnsi="仿宋" w:eastAsia="仿宋"/>
          <w:b/>
          <w:sz w:val="32"/>
          <w:szCs w:val="32"/>
        </w:rPr>
        <w:t>（三）国有资产占有使用情况</w:t>
      </w:r>
      <w:bookmarkEnd w:id="67"/>
    </w:p>
    <w:p>
      <w:pPr>
        <w:autoSpaceDE w:val="0"/>
        <w:autoSpaceDN w:val="0"/>
        <w:adjustRightInd w:val="0"/>
        <w:spacing w:line="600" w:lineRule="exact"/>
        <w:ind w:firstLine="640" w:firstLineChars="200"/>
        <w:jc w:val="left"/>
        <w:rPr>
          <w:rFonts w:ascii="仿宋" w:hAnsi="仿宋" w:eastAsia="仿宋"/>
          <w:b/>
          <w:sz w:val="32"/>
          <w:szCs w:val="32"/>
        </w:rPr>
      </w:pPr>
      <w:r>
        <w:rPr>
          <w:rFonts w:hint="eastAsia" w:ascii="仿宋_GB2312" w:eastAsia="仿宋_GB2312"/>
          <w:sz w:val="32"/>
          <w:szCs w:val="32"/>
        </w:rPr>
        <w:t>截至</w:t>
      </w:r>
      <w:r>
        <w:rPr>
          <w:rFonts w:ascii="仿宋_GB2312" w:eastAsia="仿宋_GB2312"/>
          <w:sz w:val="32"/>
          <w:szCs w:val="32"/>
        </w:rPr>
        <w:t>20</w:t>
      </w:r>
      <w:r>
        <w:rPr>
          <w:rFonts w:hint="eastAsia" w:ascii="仿宋_GB2312" w:eastAsia="仿宋_GB2312"/>
          <w:sz w:val="32"/>
          <w:szCs w:val="32"/>
        </w:rPr>
        <w:t>22年</w:t>
      </w:r>
      <w:r>
        <w:rPr>
          <w:rFonts w:ascii="仿宋_GB2312" w:eastAsia="仿宋_GB2312"/>
          <w:sz w:val="32"/>
          <w:szCs w:val="32"/>
        </w:rPr>
        <w:t>12</w:t>
      </w:r>
      <w:r>
        <w:rPr>
          <w:rFonts w:hint="eastAsia" w:ascii="仿宋_GB2312" w:eastAsia="仿宋_GB2312"/>
          <w:sz w:val="32"/>
          <w:szCs w:val="32"/>
        </w:rPr>
        <w:t>月</w:t>
      </w:r>
      <w:r>
        <w:rPr>
          <w:rFonts w:ascii="仿宋_GB2312" w:eastAsia="仿宋_GB2312"/>
          <w:sz w:val="32"/>
          <w:szCs w:val="32"/>
        </w:rPr>
        <w:t>31</w:t>
      </w:r>
      <w:r>
        <w:rPr>
          <w:rFonts w:hint="eastAsia" w:ascii="仿宋_GB2312" w:eastAsia="仿宋_GB2312"/>
          <w:sz w:val="32"/>
          <w:szCs w:val="32"/>
        </w:rPr>
        <w:t>日，省直机关工会共有车辆0辆；单价</w:t>
      </w:r>
      <w:r>
        <w:rPr>
          <w:rFonts w:ascii="仿宋_GB2312" w:eastAsia="仿宋_GB2312"/>
          <w:sz w:val="32"/>
          <w:szCs w:val="32"/>
        </w:rPr>
        <w:t>50</w:t>
      </w:r>
      <w:r>
        <w:rPr>
          <w:rFonts w:hint="eastAsia" w:ascii="仿宋_GB2312" w:eastAsia="仿宋_GB2312"/>
          <w:sz w:val="32"/>
          <w:szCs w:val="32"/>
        </w:rPr>
        <w:t>万元以上通用设备0台（套）；单价</w:t>
      </w:r>
      <w:r>
        <w:rPr>
          <w:rFonts w:ascii="仿宋_GB2312" w:eastAsia="仿宋_GB2312"/>
          <w:sz w:val="32"/>
          <w:szCs w:val="32"/>
        </w:rPr>
        <w:t>100</w:t>
      </w:r>
      <w:r>
        <w:rPr>
          <w:rFonts w:hint="eastAsia" w:ascii="仿宋_GB2312" w:eastAsia="仿宋_GB2312"/>
          <w:sz w:val="32"/>
          <w:szCs w:val="32"/>
        </w:rPr>
        <w:t>万元以上专用设备0台（套）。直机关工会有公务用车车辆，均为工会资产，工会资产不在此部门决算报表中反映。</w:t>
      </w:r>
    </w:p>
    <w:p>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pPr>
        <w:pStyle w:val="2"/>
        <w:spacing w:before="93"/>
        <w:ind w:firstLine="640" w:firstLineChars="200"/>
        <w:rPr>
          <w:highlight w:val="yellow"/>
        </w:rPr>
      </w:pPr>
      <w:r>
        <w:rPr>
          <w:rFonts w:hint="eastAsia"/>
          <w:kern w:val="2"/>
          <w:sz w:val="32"/>
          <w:szCs w:val="32"/>
        </w:rPr>
        <w:t>2022年度省直机关工会无项目支出预算。</w:t>
      </w:r>
    </w:p>
    <w:p>
      <w:pPr>
        <w:widowControl/>
        <w:jc w:val="left"/>
        <w:rPr>
          <w:rFonts w:ascii="仿宋_GB2312" w:eastAsia="仿宋_GB2312"/>
          <w:b/>
          <w:sz w:val="32"/>
          <w:szCs w:val="32"/>
        </w:rPr>
      </w:pPr>
      <w:r>
        <w:rPr>
          <w:rFonts w:ascii="仿宋_GB2312" w:eastAsia="仿宋_GB2312"/>
          <w:b/>
          <w:sz w:val="32"/>
          <w:szCs w:val="32"/>
        </w:rPr>
        <w:br w:type="page"/>
      </w:r>
    </w:p>
    <w:p>
      <w:pPr>
        <w:numPr>
          <w:ilvl w:val="0"/>
          <w:numId w:val="3"/>
        </w:numPr>
        <w:spacing w:line="600" w:lineRule="exact"/>
        <w:ind w:firstLine="660" w:firstLineChars="150"/>
        <w:jc w:val="center"/>
        <w:outlineLvl w:val="0"/>
        <w:rPr>
          <w:rStyle w:val="25"/>
          <w:rFonts w:ascii="黑体" w:hAnsi="黑体" w:eastAsia="黑体"/>
          <w:b w:val="0"/>
        </w:rPr>
      </w:pPr>
      <w:bookmarkStart w:id="68" w:name="_Toc13392"/>
      <w:bookmarkStart w:id="69" w:name="_Toc15396613"/>
      <w:bookmarkStart w:id="70" w:name="_Toc15377225"/>
      <w:r>
        <w:rPr>
          <w:rFonts w:hint="eastAsia" w:ascii="黑体" w:hAnsi="黑体" w:eastAsia="黑体"/>
          <w:sz w:val="44"/>
          <w:szCs w:val="44"/>
        </w:rPr>
        <w:t>名</w:t>
      </w:r>
      <w:r>
        <w:rPr>
          <w:rStyle w:val="25"/>
          <w:rFonts w:hint="eastAsia" w:ascii="黑体" w:hAnsi="黑体" w:eastAsia="黑体"/>
          <w:b w:val="0"/>
        </w:rPr>
        <w:t>词解释</w:t>
      </w:r>
      <w:bookmarkEnd w:id="68"/>
      <w:bookmarkEnd w:id="69"/>
      <w:bookmarkEnd w:id="70"/>
    </w:p>
    <w:p>
      <w:pPr>
        <w:spacing w:line="600" w:lineRule="exact"/>
        <w:jc w:val="left"/>
        <w:rPr>
          <w:rFonts w:ascii="宋体"/>
          <w:b/>
          <w:sz w:val="44"/>
          <w:szCs w:val="44"/>
        </w:rPr>
      </w:pPr>
    </w:p>
    <w:p>
      <w:pPr>
        <w:ind w:firstLine="640" w:firstLineChars="200"/>
        <w:rPr>
          <w:rFonts w:ascii="仿宋_GB2312" w:eastAsia="仿宋_GB2312"/>
          <w:sz w:val="32"/>
          <w:szCs w:val="32"/>
        </w:rPr>
      </w:pPr>
      <w:r>
        <w:rPr>
          <w:rFonts w:hint="eastAsia" w:ascii="仿宋_GB2312" w:eastAsia="仿宋_GB2312"/>
          <w:sz w:val="32"/>
          <w:szCs w:val="32"/>
        </w:rPr>
        <w:t>1.财政拨款收入：指单位从同级财政部门取得的财政预算资金。</w:t>
      </w:r>
    </w:p>
    <w:p>
      <w:pPr>
        <w:ind w:firstLine="640" w:firstLineChars="200"/>
        <w:rPr>
          <w:rFonts w:ascii="仿宋_GB2312" w:eastAsia="仿宋_GB2312"/>
          <w:sz w:val="32"/>
          <w:szCs w:val="32"/>
        </w:rPr>
      </w:pPr>
      <w:r>
        <w:rPr>
          <w:rFonts w:hint="eastAsia" w:ascii="仿宋_GB2312" w:eastAsia="仿宋_GB2312"/>
          <w:sz w:val="32"/>
          <w:szCs w:val="32"/>
        </w:rPr>
        <w:t>2.事业收入：指事业单位开展专业业务活动及辅助活动取得的收入。</w:t>
      </w:r>
    </w:p>
    <w:p>
      <w:pPr>
        <w:ind w:firstLine="640" w:firstLineChars="200"/>
        <w:rPr>
          <w:rFonts w:ascii="仿宋_GB2312" w:eastAsia="仿宋_GB2312"/>
          <w:sz w:val="32"/>
          <w:szCs w:val="32"/>
        </w:rPr>
      </w:pPr>
      <w:r>
        <w:rPr>
          <w:rFonts w:hint="eastAsia" w:ascii="仿宋_GB2312" w:eastAsia="仿宋_GB2312"/>
          <w:sz w:val="32"/>
          <w:szCs w:val="32"/>
        </w:rPr>
        <w:t>3.结余分配：指事业单位按规定提取的职工福利基金、事业基金和缴纳的所得税，以及建设单位按规定应交回的基本建设竣工项目结余资金。</w:t>
      </w:r>
    </w:p>
    <w:p>
      <w:pPr>
        <w:ind w:firstLine="640" w:firstLineChars="200"/>
        <w:rPr>
          <w:rFonts w:ascii="仿宋_GB2312" w:eastAsia="仿宋_GB2312"/>
          <w:sz w:val="32"/>
          <w:szCs w:val="32"/>
        </w:rPr>
      </w:pPr>
      <w:r>
        <w:rPr>
          <w:rFonts w:hint="eastAsia" w:ascii="仿宋_GB2312" w:eastAsia="仿宋_GB2312"/>
          <w:sz w:val="32"/>
          <w:szCs w:val="32"/>
        </w:rPr>
        <w:t>4.年末结转和结余：指本年度或以前年度预算安排、因客观条件发生变化无法按原计划实施，需延迟到以后年度按有关规定继续使用的资金。</w:t>
      </w:r>
    </w:p>
    <w:p>
      <w:pPr>
        <w:ind w:firstLine="640" w:firstLineChars="200"/>
        <w:rPr>
          <w:rFonts w:ascii="仿宋_GB2312" w:eastAsia="仿宋_GB2312"/>
          <w:sz w:val="32"/>
          <w:szCs w:val="32"/>
        </w:rPr>
      </w:pPr>
      <w:r>
        <w:rPr>
          <w:rFonts w:hint="eastAsia" w:ascii="仿宋_GB2312" w:eastAsia="仿宋_GB2312"/>
          <w:sz w:val="32"/>
          <w:szCs w:val="32"/>
        </w:rPr>
        <w:t>5.一般公共服务支出（类）党委办公厅（室）及相关机构事务（款）行政运行（项）:指工委在职职工工资等人员经费以及办公费、交通费、差旅费、水电费、接待费、维修费、会议费等商品和服务支出。</w:t>
      </w:r>
    </w:p>
    <w:p>
      <w:pPr>
        <w:ind w:firstLine="640" w:firstLineChars="200"/>
        <w:rPr>
          <w:rFonts w:ascii="仿宋_GB2312" w:eastAsia="仿宋_GB2312"/>
          <w:sz w:val="32"/>
          <w:szCs w:val="32"/>
        </w:rPr>
      </w:pPr>
      <w:r>
        <w:rPr>
          <w:rFonts w:hint="eastAsia" w:ascii="仿宋_GB2312" w:eastAsia="仿宋_GB2312"/>
          <w:sz w:val="32"/>
          <w:szCs w:val="32"/>
        </w:rPr>
        <w:t>6.一般公共服务支出（类）党委办公厅（室）及相关机构事务（款）一般行政管理事务（项）:指为保障工委完成特定的行政工作任务或事业发展目标，用于专项业务工作的经费支出。</w:t>
      </w:r>
    </w:p>
    <w:p>
      <w:pPr>
        <w:ind w:firstLine="640" w:firstLineChars="200"/>
        <w:rPr>
          <w:rFonts w:ascii="仿宋_GB2312" w:eastAsia="仿宋_GB2312"/>
          <w:sz w:val="32"/>
          <w:szCs w:val="32"/>
        </w:rPr>
      </w:pPr>
      <w:r>
        <w:rPr>
          <w:rFonts w:hint="eastAsia" w:ascii="仿宋_GB2312" w:eastAsia="仿宋_GB2312"/>
          <w:sz w:val="32"/>
          <w:szCs w:val="32"/>
        </w:rPr>
        <w:t>7.教育支出（类）进修及培训（款）培训支出（项）：指用于工委在职职工参加各类培训支出。</w:t>
      </w:r>
    </w:p>
    <w:p>
      <w:pPr>
        <w:ind w:firstLine="640" w:firstLineChars="200"/>
        <w:rPr>
          <w:rFonts w:ascii="仿宋_GB2312" w:eastAsia="仿宋_GB2312"/>
          <w:sz w:val="32"/>
          <w:szCs w:val="32"/>
        </w:rPr>
      </w:pPr>
      <w:r>
        <w:rPr>
          <w:rFonts w:hint="eastAsia" w:ascii="仿宋_GB2312" w:eastAsia="仿宋_GB2312"/>
          <w:sz w:val="32"/>
          <w:szCs w:val="32"/>
        </w:rPr>
        <w:t>8.社会保障和就业（类）行政事业单位离退休（款）未归口管理的行政单位离退休（项）:指用于工委离休人员经费开支。</w:t>
      </w:r>
    </w:p>
    <w:p>
      <w:pPr>
        <w:ind w:firstLine="640" w:firstLineChars="200"/>
        <w:rPr>
          <w:rFonts w:ascii="仿宋_GB2312" w:eastAsia="仿宋_GB2312"/>
          <w:sz w:val="32"/>
          <w:szCs w:val="32"/>
        </w:rPr>
      </w:pPr>
      <w:r>
        <w:rPr>
          <w:rFonts w:hint="eastAsia" w:ascii="仿宋_GB2312" w:eastAsia="仿宋_GB2312"/>
          <w:sz w:val="32"/>
          <w:szCs w:val="32"/>
        </w:rPr>
        <w:t>9.社会保障和就业（类）行政事业单位离退休（款）机关事业单位基本养老保险缴费支出（项）:指用于单位基本养老保险缴费支出。</w:t>
      </w:r>
    </w:p>
    <w:p>
      <w:pPr>
        <w:ind w:firstLine="640" w:firstLineChars="200"/>
        <w:rPr>
          <w:rFonts w:ascii="仿宋_GB2312" w:eastAsia="仿宋_GB2312"/>
          <w:sz w:val="32"/>
          <w:szCs w:val="32"/>
        </w:rPr>
      </w:pPr>
      <w:r>
        <w:rPr>
          <w:rFonts w:hint="eastAsia" w:ascii="仿宋_GB2312" w:eastAsia="仿宋_GB2312"/>
          <w:sz w:val="32"/>
          <w:szCs w:val="32"/>
        </w:rPr>
        <w:t>10.社会保障和就业（类）其他社会保障和就业支出（款）其他社会保障和就业支出（项）:指用于遗属人员生活补助的支出。</w:t>
      </w:r>
    </w:p>
    <w:p>
      <w:pPr>
        <w:ind w:firstLine="640" w:firstLineChars="200"/>
        <w:rPr>
          <w:rFonts w:ascii="仿宋_GB2312" w:eastAsia="仿宋_GB2312"/>
          <w:sz w:val="32"/>
          <w:szCs w:val="32"/>
        </w:rPr>
      </w:pPr>
      <w:r>
        <w:rPr>
          <w:rFonts w:hint="eastAsia" w:ascii="仿宋_GB2312" w:eastAsia="仿宋_GB2312"/>
          <w:sz w:val="32"/>
          <w:szCs w:val="32"/>
        </w:rPr>
        <w:t>11.卫生健康（类）医疗保障（款）行政单位医疗（项）:指用于支付工委职工医疗保险。</w:t>
      </w:r>
    </w:p>
    <w:p>
      <w:pPr>
        <w:ind w:firstLine="640" w:firstLineChars="200"/>
        <w:rPr>
          <w:rFonts w:ascii="仿宋_GB2312" w:eastAsia="仿宋_GB2312"/>
          <w:sz w:val="32"/>
          <w:szCs w:val="32"/>
        </w:rPr>
      </w:pPr>
      <w:r>
        <w:rPr>
          <w:rFonts w:hint="eastAsia" w:ascii="仿宋_GB2312" w:eastAsia="仿宋_GB2312"/>
          <w:sz w:val="32"/>
          <w:szCs w:val="32"/>
        </w:rPr>
        <w:t>12. 卫生健康（类）医疗保障（款）公务员医疗（项）:指公务员医疗补助经费。</w:t>
      </w:r>
    </w:p>
    <w:p>
      <w:pPr>
        <w:ind w:firstLine="640" w:firstLineChars="200"/>
        <w:rPr>
          <w:rFonts w:ascii="仿宋_GB2312" w:eastAsia="仿宋_GB2312"/>
          <w:sz w:val="32"/>
          <w:szCs w:val="32"/>
        </w:rPr>
      </w:pPr>
      <w:r>
        <w:rPr>
          <w:rFonts w:hint="eastAsia" w:ascii="仿宋_GB2312" w:eastAsia="仿宋_GB2312"/>
          <w:sz w:val="32"/>
          <w:szCs w:val="32"/>
        </w:rPr>
        <w:t>13.住房保障支出（类）住房改革支出（款）住房公积金（项）:指用于支付职工住房公积金。</w:t>
      </w:r>
    </w:p>
    <w:p>
      <w:pPr>
        <w:ind w:firstLine="640" w:firstLineChars="200"/>
        <w:rPr>
          <w:rFonts w:ascii="仿宋_GB2312" w:eastAsia="仿宋_GB2312"/>
          <w:sz w:val="32"/>
          <w:szCs w:val="32"/>
        </w:rPr>
      </w:pPr>
      <w:r>
        <w:rPr>
          <w:rFonts w:hint="eastAsia" w:ascii="仿宋_GB2312" w:eastAsia="仿宋_GB2312"/>
          <w:sz w:val="32"/>
          <w:szCs w:val="32"/>
        </w:rPr>
        <w:t>14.住房保障支出（类）住房改革支出（款）购房补贴（项）:指向符合条件职工发放的用于购买住房的补贴。</w:t>
      </w:r>
    </w:p>
    <w:p>
      <w:pPr>
        <w:ind w:firstLine="640" w:firstLineChars="200"/>
        <w:rPr>
          <w:rFonts w:ascii="仿宋_GB2312" w:eastAsia="仿宋_GB2312"/>
          <w:sz w:val="32"/>
          <w:szCs w:val="32"/>
        </w:rPr>
      </w:pPr>
      <w:r>
        <w:rPr>
          <w:rFonts w:hint="eastAsia" w:ascii="仿宋_GB2312" w:eastAsia="仿宋_GB2312"/>
          <w:sz w:val="32"/>
          <w:szCs w:val="32"/>
        </w:rPr>
        <w:t>15.基本支出：指为保障机构正常运转、完成日常工作任务而发生的人员支出和公用支出。</w:t>
      </w:r>
    </w:p>
    <w:p>
      <w:pPr>
        <w:ind w:firstLine="640" w:firstLineChars="200"/>
        <w:rPr>
          <w:rFonts w:ascii="仿宋_GB2312" w:eastAsia="仿宋_GB2312"/>
          <w:sz w:val="32"/>
          <w:szCs w:val="32"/>
        </w:rPr>
      </w:pPr>
      <w:r>
        <w:rPr>
          <w:rFonts w:hint="eastAsia" w:ascii="仿宋_GB2312" w:eastAsia="仿宋_GB2312"/>
          <w:sz w:val="32"/>
          <w:szCs w:val="32"/>
        </w:rPr>
        <w:t xml:space="preserve">16.项目支出：指在基本支出之外为完成特定行政任务和事业发展目标所发生的支出。 </w:t>
      </w:r>
    </w:p>
    <w:p>
      <w:pPr>
        <w:ind w:firstLine="640" w:firstLineChars="200"/>
        <w:rPr>
          <w:rFonts w:ascii="仿宋_GB2312" w:eastAsia="仿宋_GB2312"/>
          <w:sz w:val="32"/>
          <w:szCs w:val="32"/>
        </w:rPr>
      </w:pPr>
      <w:r>
        <w:rPr>
          <w:rFonts w:hint="eastAsia" w:ascii="仿宋_GB2312" w:eastAsia="仿宋_GB2312"/>
          <w:sz w:val="32"/>
          <w:szCs w:val="32"/>
        </w:rPr>
        <w:t>17.经营支出：指事业单位在专业业务活动及其辅助活动之外开展非独立核算经营活动发生的支出。</w:t>
      </w:r>
    </w:p>
    <w:p>
      <w:pPr>
        <w:ind w:firstLine="640" w:firstLineChars="200"/>
        <w:rPr>
          <w:rFonts w:ascii="仿宋_GB2312" w:eastAsia="仿宋_GB2312"/>
          <w:sz w:val="32"/>
          <w:szCs w:val="32"/>
        </w:rPr>
      </w:pPr>
      <w:r>
        <w:rPr>
          <w:rFonts w:hint="eastAsia" w:ascii="仿宋_GB2312" w:eastAsia="仿宋_GB2312"/>
          <w:sz w:val="32"/>
          <w:szCs w:val="32"/>
        </w:rPr>
        <w:t>18.“三公”经费：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等支出；公务接待费反映单位按规定开支的各类公务接待（含外宾接待）支出。</w:t>
      </w:r>
    </w:p>
    <w:p>
      <w:pPr>
        <w:ind w:firstLine="640" w:firstLineChars="200"/>
        <w:rPr>
          <w:rFonts w:ascii="仿宋_GB2312" w:eastAsia="仿宋_GB2312"/>
          <w:sz w:val="32"/>
          <w:szCs w:val="32"/>
        </w:rPr>
      </w:pPr>
      <w:r>
        <w:rPr>
          <w:rFonts w:hint="eastAsia" w:ascii="仿宋_GB2312" w:eastAsia="仿宋_GB2312"/>
          <w:sz w:val="32"/>
          <w:szCs w:val="32"/>
        </w:rPr>
        <w:t>19.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pPr>
        <w:spacing w:line="600" w:lineRule="exact"/>
        <w:jc w:val="center"/>
        <w:outlineLvl w:val="0"/>
        <w:rPr>
          <w:rStyle w:val="25"/>
          <w:rFonts w:ascii="黑体" w:hAnsi="黑体" w:eastAsia="黑体"/>
          <w:b w:val="0"/>
        </w:rPr>
      </w:pPr>
      <w:bookmarkStart w:id="71" w:name="_Toc15377226"/>
      <w:r>
        <w:rPr>
          <w:rFonts w:ascii="宋体"/>
          <w:b/>
          <w:sz w:val="44"/>
          <w:szCs w:val="44"/>
        </w:rPr>
        <w:br w:type="page"/>
      </w:r>
      <w:bookmarkStart w:id="72" w:name="_Toc11525"/>
      <w:bookmarkStart w:id="73" w:name="_Toc15396614"/>
      <w:r>
        <w:rPr>
          <w:rFonts w:hint="eastAsia" w:ascii="黑体" w:hAnsi="黑体" w:eastAsia="黑体"/>
          <w:sz w:val="44"/>
          <w:szCs w:val="44"/>
        </w:rPr>
        <w:t>第</w:t>
      </w:r>
      <w:r>
        <w:rPr>
          <w:rStyle w:val="25"/>
          <w:rFonts w:hint="eastAsia" w:ascii="黑体" w:hAnsi="黑体" w:eastAsia="黑体"/>
          <w:b w:val="0"/>
        </w:rPr>
        <w:t>四部分 附件</w:t>
      </w:r>
      <w:bookmarkEnd w:id="72"/>
      <w:bookmarkEnd w:id="73"/>
    </w:p>
    <w:p>
      <w:pPr>
        <w:spacing w:line="572" w:lineRule="exact"/>
        <w:jc w:val="left"/>
        <w:rPr>
          <w:rFonts w:ascii="仿宋_GB2312" w:hAnsi="仿宋_GB2312" w:eastAsia="仿宋_GB2312" w:cs="仿宋_GB2312"/>
          <w:sz w:val="32"/>
          <w:szCs w:val="32"/>
        </w:rPr>
      </w:pPr>
    </w:p>
    <w:p>
      <w:pPr>
        <w:spacing w:line="600" w:lineRule="exact"/>
        <w:jc w:val="center"/>
        <w:outlineLvl w:val="1"/>
        <w:rPr>
          <w:rFonts w:ascii="宋体" w:hAnsi="宋体" w:cs="宋体"/>
          <w:kern w:val="0"/>
          <w:sz w:val="32"/>
          <w:szCs w:val="32"/>
        </w:rPr>
      </w:pPr>
      <w:bookmarkStart w:id="74" w:name="_Toc5164"/>
      <w:bookmarkStart w:id="75" w:name="_Toc15396618"/>
      <w:r>
        <w:rPr>
          <w:rFonts w:hint="eastAsia" w:ascii="宋体" w:hAnsi="宋体" w:cs="宋体"/>
          <w:kern w:val="0"/>
          <w:sz w:val="32"/>
          <w:szCs w:val="32"/>
        </w:rPr>
        <w:t>部门预算项目支出绩效自评表（2022年度）</w:t>
      </w:r>
      <w:bookmarkEnd w:id="74"/>
    </w:p>
    <w:p>
      <w:pPr>
        <w:spacing w:line="600" w:lineRule="exact"/>
        <w:rPr>
          <w:rFonts w:ascii="仿宋_GB2312" w:hAnsi="Calibri" w:eastAsia="仿宋_GB2312" w:cs="仿宋"/>
          <w:kern w:val="0"/>
          <w:sz w:val="32"/>
          <w:szCs w:val="32"/>
        </w:rPr>
      </w:pPr>
    </w:p>
    <w:p>
      <w:pPr>
        <w:spacing w:line="600" w:lineRule="exact"/>
        <w:ind w:firstLine="640" w:firstLineChars="200"/>
        <w:rPr>
          <w:rFonts w:ascii="仿宋_GB2312" w:hAnsi="Calibri" w:eastAsia="仿宋_GB2312" w:cs="仿宋"/>
          <w:kern w:val="0"/>
          <w:sz w:val="32"/>
          <w:szCs w:val="32"/>
        </w:rPr>
      </w:pPr>
      <w:r>
        <w:rPr>
          <w:rFonts w:hint="eastAsia" w:ascii="仿宋_GB2312" w:hAnsi="Calibri" w:eastAsia="仿宋_GB2312" w:cs="仿宋"/>
          <w:kern w:val="0"/>
          <w:sz w:val="32"/>
          <w:szCs w:val="32"/>
        </w:rPr>
        <w:t>2022年省直机关工会无项目支出预算，未组织开展项目支出绩效自评。</w:t>
      </w: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pStyle w:val="2"/>
        <w:spacing w:before="93"/>
        <w:rPr>
          <w:rFonts w:hAnsi="Calibri" w:cs="仿宋"/>
          <w:sz w:val="32"/>
          <w:szCs w:val="32"/>
        </w:rPr>
      </w:pPr>
    </w:p>
    <w:p>
      <w:pPr>
        <w:rPr>
          <w:rFonts w:ascii="仿宋_GB2312" w:hAnsi="Calibri" w:eastAsia="仿宋_GB2312" w:cs="仿宋"/>
          <w:kern w:val="0"/>
          <w:sz w:val="32"/>
          <w:szCs w:val="32"/>
        </w:rPr>
      </w:pPr>
    </w:p>
    <w:p>
      <w:pPr>
        <w:pStyle w:val="2"/>
        <w:spacing w:before="93"/>
      </w:pPr>
    </w:p>
    <w:p>
      <w:pPr>
        <w:spacing w:line="600" w:lineRule="exact"/>
        <w:jc w:val="center"/>
        <w:outlineLvl w:val="0"/>
        <w:rPr>
          <w:rFonts w:ascii="仿宋" w:hAnsi="仿宋" w:eastAsia="仿宋"/>
        </w:rPr>
      </w:pPr>
      <w:bookmarkStart w:id="76" w:name="_Toc11474"/>
      <w:r>
        <w:rPr>
          <w:rFonts w:hint="eastAsia" w:ascii="黑体" w:hAnsi="黑体" w:eastAsia="黑体"/>
          <w:sz w:val="44"/>
          <w:szCs w:val="44"/>
        </w:rPr>
        <w:t>第</w:t>
      </w:r>
      <w:r>
        <w:rPr>
          <w:rStyle w:val="25"/>
          <w:rFonts w:hint="eastAsia" w:ascii="黑体" w:hAnsi="黑体" w:eastAsia="黑体"/>
          <w:b w:val="0"/>
        </w:rPr>
        <w:t>五部分 附表</w:t>
      </w:r>
      <w:bookmarkEnd w:id="71"/>
      <w:bookmarkEnd w:id="75"/>
      <w:bookmarkEnd w:id="76"/>
      <w:bookmarkStart w:id="77" w:name="_Toc15396619"/>
    </w:p>
    <w:p>
      <w:pPr>
        <w:pStyle w:val="4"/>
        <w:spacing w:before="0" w:after="0" w:line="600" w:lineRule="exact"/>
        <w:rPr>
          <w:rFonts w:ascii="仿宋" w:hAnsi="仿宋" w:eastAsia="仿宋"/>
          <w:b w:val="0"/>
        </w:rPr>
      </w:pPr>
      <w:bookmarkStart w:id="78" w:name="_Toc29381"/>
    </w:p>
    <w:p>
      <w:pPr>
        <w:pStyle w:val="4"/>
        <w:spacing w:before="0" w:after="0" w:line="600" w:lineRule="exact"/>
        <w:rPr>
          <w:rFonts w:ascii="仿宋" w:hAnsi="仿宋" w:eastAsia="仿宋"/>
        </w:rPr>
      </w:pPr>
      <w:r>
        <w:rPr>
          <w:rFonts w:hint="eastAsia" w:ascii="仿宋" w:hAnsi="仿宋" w:eastAsia="仿宋"/>
          <w:b w:val="0"/>
        </w:rPr>
        <w:t>一、收</w:t>
      </w:r>
      <w:r>
        <w:rPr>
          <w:rStyle w:val="26"/>
          <w:rFonts w:hint="eastAsia" w:ascii="仿宋" w:hAnsi="仿宋" w:eastAsia="仿宋"/>
          <w:b w:val="0"/>
          <w:bCs w:val="0"/>
        </w:rPr>
        <w:t>入支出决算总表</w:t>
      </w:r>
      <w:bookmarkEnd w:id="77"/>
      <w:bookmarkEnd w:id="78"/>
    </w:p>
    <w:p>
      <w:pPr>
        <w:pStyle w:val="4"/>
        <w:spacing w:before="0" w:after="0" w:line="600" w:lineRule="exact"/>
        <w:rPr>
          <w:rFonts w:ascii="仿宋" w:hAnsi="仿宋" w:eastAsia="仿宋"/>
        </w:rPr>
      </w:pPr>
      <w:bookmarkStart w:id="79" w:name="_Toc15396620"/>
      <w:bookmarkStart w:id="80" w:name="_Toc17067"/>
      <w:r>
        <w:rPr>
          <w:rFonts w:hint="eastAsia" w:ascii="仿宋" w:hAnsi="仿宋" w:eastAsia="仿宋"/>
          <w:b w:val="0"/>
        </w:rPr>
        <w:t>二、收</w:t>
      </w:r>
      <w:r>
        <w:rPr>
          <w:rStyle w:val="26"/>
          <w:rFonts w:hint="eastAsia" w:ascii="仿宋" w:hAnsi="仿宋" w:eastAsia="仿宋"/>
          <w:b w:val="0"/>
          <w:bCs w:val="0"/>
        </w:rPr>
        <w:t>入决算表</w:t>
      </w:r>
      <w:bookmarkEnd w:id="79"/>
      <w:bookmarkEnd w:id="80"/>
    </w:p>
    <w:p>
      <w:pPr>
        <w:pStyle w:val="4"/>
        <w:spacing w:before="0" w:after="0" w:line="600" w:lineRule="exact"/>
        <w:rPr>
          <w:rFonts w:ascii="仿宋" w:hAnsi="仿宋" w:eastAsia="仿宋"/>
        </w:rPr>
      </w:pPr>
      <w:bookmarkStart w:id="81" w:name="_Toc15396621"/>
      <w:bookmarkStart w:id="82" w:name="_Toc14700"/>
      <w:r>
        <w:rPr>
          <w:rStyle w:val="26"/>
          <w:rFonts w:hint="eastAsia" w:ascii="仿宋" w:hAnsi="仿宋" w:eastAsia="仿宋"/>
          <w:b w:val="0"/>
          <w:bCs w:val="0"/>
        </w:rPr>
        <w:t>三、</w:t>
      </w:r>
      <w:r>
        <w:rPr>
          <w:rFonts w:hint="eastAsia" w:ascii="仿宋" w:hAnsi="仿宋" w:eastAsia="仿宋"/>
          <w:b w:val="0"/>
        </w:rPr>
        <w:t>支</w:t>
      </w:r>
      <w:r>
        <w:rPr>
          <w:rStyle w:val="26"/>
          <w:rFonts w:hint="eastAsia" w:ascii="仿宋" w:hAnsi="仿宋" w:eastAsia="仿宋"/>
          <w:b w:val="0"/>
          <w:bCs w:val="0"/>
        </w:rPr>
        <w:t>出决算表</w:t>
      </w:r>
      <w:bookmarkEnd w:id="81"/>
      <w:bookmarkEnd w:id="82"/>
    </w:p>
    <w:p>
      <w:pPr>
        <w:pStyle w:val="4"/>
        <w:spacing w:before="0" w:after="0" w:line="600" w:lineRule="exact"/>
        <w:rPr>
          <w:rFonts w:ascii="仿宋" w:hAnsi="仿宋" w:eastAsia="仿宋"/>
          <w:b w:val="0"/>
        </w:rPr>
      </w:pPr>
      <w:bookmarkStart w:id="83" w:name="_Toc32448"/>
      <w:bookmarkStart w:id="84" w:name="_Toc15396622"/>
      <w:r>
        <w:rPr>
          <w:rStyle w:val="26"/>
          <w:rFonts w:hint="eastAsia" w:ascii="仿宋" w:hAnsi="仿宋" w:eastAsia="仿宋"/>
          <w:b w:val="0"/>
          <w:bCs w:val="0"/>
        </w:rPr>
        <w:t>四、</w:t>
      </w:r>
      <w:r>
        <w:rPr>
          <w:rFonts w:hint="eastAsia" w:ascii="仿宋" w:hAnsi="仿宋" w:eastAsia="仿宋"/>
          <w:b w:val="0"/>
        </w:rPr>
        <w:t>财</w:t>
      </w:r>
      <w:r>
        <w:rPr>
          <w:rStyle w:val="26"/>
          <w:rFonts w:hint="eastAsia" w:ascii="仿宋" w:hAnsi="仿宋" w:eastAsia="仿宋"/>
          <w:b w:val="0"/>
          <w:bCs w:val="0"/>
        </w:rPr>
        <w:t>政拨款收入支出决算总表</w:t>
      </w:r>
      <w:bookmarkEnd w:id="83"/>
      <w:bookmarkEnd w:id="84"/>
    </w:p>
    <w:p>
      <w:pPr>
        <w:pStyle w:val="4"/>
        <w:spacing w:before="0" w:after="0" w:line="600" w:lineRule="exact"/>
        <w:rPr>
          <w:rStyle w:val="26"/>
          <w:rFonts w:ascii="仿宋" w:hAnsi="仿宋" w:eastAsia="仿宋"/>
          <w:b w:val="0"/>
          <w:bCs w:val="0"/>
        </w:rPr>
      </w:pPr>
      <w:bookmarkStart w:id="85" w:name="_Toc23339"/>
      <w:bookmarkStart w:id="86" w:name="_Toc15396623"/>
      <w:r>
        <w:rPr>
          <w:rStyle w:val="26"/>
          <w:rFonts w:hint="eastAsia" w:ascii="仿宋" w:hAnsi="仿宋" w:eastAsia="仿宋"/>
          <w:b w:val="0"/>
          <w:bCs w:val="0"/>
        </w:rPr>
        <w:t>五、</w:t>
      </w:r>
      <w:r>
        <w:rPr>
          <w:rFonts w:hint="eastAsia" w:ascii="仿宋" w:hAnsi="仿宋" w:eastAsia="仿宋"/>
          <w:b w:val="0"/>
        </w:rPr>
        <w:t>财</w:t>
      </w:r>
      <w:r>
        <w:rPr>
          <w:rStyle w:val="26"/>
          <w:rFonts w:hint="eastAsia" w:ascii="仿宋" w:hAnsi="仿宋" w:eastAsia="仿宋"/>
          <w:b w:val="0"/>
          <w:bCs w:val="0"/>
        </w:rPr>
        <w:t>政拨款支出决算明细表</w:t>
      </w:r>
      <w:bookmarkEnd w:id="85"/>
      <w:bookmarkEnd w:id="86"/>
      <w:bookmarkStart w:id="87" w:name="_Toc15396624"/>
    </w:p>
    <w:p>
      <w:pPr>
        <w:pStyle w:val="4"/>
        <w:spacing w:before="0" w:after="0" w:line="600" w:lineRule="exact"/>
        <w:rPr>
          <w:rFonts w:ascii="仿宋" w:hAnsi="仿宋" w:eastAsia="仿宋"/>
        </w:rPr>
      </w:pPr>
      <w:bookmarkStart w:id="88" w:name="_Toc1319"/>
      <w:r>
        <w:rPr>
          <w:rStyle w:val="26"/>
          <w:rFonts w:hint="eastAsia" w:ascii="仿宋" w:hAnsi="仿宋" w:eastAsia="仿宋"/>
          <w:b w:val="0"/>
          <w:bCs w:val="0"/>
        </w:rPr>
        <w:t>六、</w:t>
      </w:r>
      <w:r>
        <w:rPr>
          <w:rFonts w:hint="eastAsia" w:ascii="仿宋" w:hAnsi="仿宋" w:eastAsia="仿宋"/>
          <w:b w:val="0"/>
        </w:rPr>
        <w:t>一</w:t>
      </w:r>
      <w:r>
        <w:rPr>
          <w:rStyle w:val="26"/>
          <w:rFonts w:hint="eastAsia" w:ascii="仿宋" w:hAnsi="仿宋" w:eastAsia="仿宋"/>
          <w:b w:val="0"/>
          <w:bCs w:val="0"/>
        </w:rPr>
        <w:t>般公共预算财政拨款支出决算表</w:t>
      </w:r>
      <w:bookmarkEnd w:id="87"/>
      <w:bookmarkEnd w:id="88"/>
    </w:p>
    <w:p>
      <w:pPr>
        <w:pStyle w:val="4"/>
        <w:spacing w:before="0" w:after="0" w:line="600" w:lineRule="exact"/>
        <w:rPr>
          <w:rFonts w:ascii="仿宋" w:hAnsi="仿宋" w:eastAsia="仿宋"/>
        </w:rPr>
      </w:pPr>
      <w:bookmarkStart w:id="89" w:name="_Toc15396625"/>
      <w:bookmarkStart w:id="90" w:name="_Toc15404"/>
      <w:r>
        <w:rPr>
          <w:rStyle w:val="26"/>
          <w:rFonts w:hint="eastAsia" w:ascii="仿宋" w:hAnsi="仿宋" w:eastAsia="仿宋"/>
          <w:b w:val="0"/>
          <w:bCs w:val="0"/>
        </w:rPr>
        <w:t>七、</w:t>
      </w:r>
      <w:r>
        <w:rPr>
          <w:rFonts w:hint="eastAsia" w:ascii="仿宋" w:hAnsi="仿宋" w:eastAsia="仿宋"/>
          <w:b w:val="0"/>
        </w:rPr>
        <w:t>一</w:t>
      </w:r>
      <w:r>
        <w:rPr>
          <w:rStyle w:val="26"/>
          <w:rFonts w:hint="eastAsia" w:ascii="仿宋" w:hAnsi="仿宋" w:eastAsia="仿宋"/>
          <w:b w:val="0"/>
          <w:bCs w:val="0"/>
        </w:rPr>
        <w:t>般公共预算财政拨款支出决算明细表</w:t>
      </w:r>
      <w:bookmarkEnd w:id="89"/>
      <w:bookmarkEnd w:id="90"/>
    </w:p>
    <w:p>
      <w:pPr>
        <w:pStyle w:val="4"/>
        <w:spacing w:before="0" w:after="0" w:line="600" w:lineRule="exact"/>
        <w:rPr>
          <w:rFonts w:ascii="仿宋" w:hAnsi="仿宋" w:eastAsia="仿宋"/>
        </w:rPr>
      </w:pPr>
      <w:bookmarkStart w:id="91" w:name="_Toc15396626"/>
      <w:bookmarkStart w:id="92" w:name="_Toc24609"/>
      <w:r>
        <w:rPr>
          <w:rStyle w:val="26"/>
          <w:rFonts w:hint="eastAsia" w:ascii="仿宋" w:hAnsi="仿宋" w:eastAsia="仿宋"/>
          <w:b w:val="0"/>
          <w:bCs w:val="0"/>
        </w:rPr>
        <w:t>八、</w:t>
      </w:r>
      <w:r>
        <w:rPr>
          <w:rFonts w:hint="eastAsia" w:ascii="仿宋" w:hAnsi="仿宋" w:eastAsia="仿宋"/>
          <w:b w:val="0"/>
        </w:rPr>
        <w:t>一</w:t>
      </w:r>
      <w:r>
        <w:rPr>
          <w:rStyle w:val="26"/>
          <w:rFonts w:hint="eastAsia" w:ascii="仿宋" w:hAnsi="仿宋" w:eastAsia="仿宋"/>
          <w:b w:val="0"/>
          <w:bCs w:val="0"/>
        </w:rPr>
        <w:t>般公共预算财政拨款基本支出决算表</w:t>
      </w:r>
      <w:bookmarkEnd w:id="91"/>
      <w:bookmarkEnd w:id="92"/>
    </w:p>
    <w:p>
      <w:pPr>
        <w:pStyle w:val="4"/>
        <w:spacing w:before="0" w:after="0" w:line="600" w:lineRule="exact"/>
        <w:rPr>
          <w:rFonts w:ascii="仿宋" w:hAnsi="仿宋" w:eastAsia="仿宋"/>
        </w:rPr>
      </w:pPr>
      <w:bookmarkStart w:id="93" w:name="_Toc15396627"/>
      <w:bookmarkStart w:id="94" w:name="_Toc8548"/>
      <w:r>
        <w:rPr>
          <w:rStyle w:val="26"/>
          <w:rFonts w:hint="eastAsia" w:ascii="仿宋" w:hAnsi="仿宋" w:eastAsia="仿宋"/>
          <w:b w:val="0"/>
          <w:bCs w:val="0"/>
        </w:rPr>
        <w:t>九、</w:t>
      </w:r>
      <w:r>
        <w:rPr>
          <w:rFonts w:hint="eastAsia" w:ascii="仿宋" w:hAnsi="仿宋" w:eastAsia="仿宋"/>
          <w:b w:val="0"/>
        </w:rPr>
        <w:t>一</w:t>
      </w:r>
      <w:r>
        <w:rPr>
          <w:rStyle w:val="26"/>
          <w:rFonts w:hint="eastAsia" w:ascii="仿宋" w:hAnsi="仿宋" w:eastAsia="仿宋"/>
          <w:b w:val="0"/>
          <w:bCs w:val="0"/>
        </w:rPr>
        <w:t>般公共预算财政拨款项目支出决算表</w:t>
      </w:r>
      <w:bookmarkEnd w:id="93"/>
      <w:bookmarkEnd w:id="94"/>
    </w:p>
    <w:p>
      <w:pPr>
        <w:pStyle w:val="4"/>
        <w:spacing w:before="0" w:after="0" w:line="600" w:lineRule="exact"/>
        <w:rPr>
          <w:rFonts w:ascii="仿宋" w:hAnsi="仿宋" w:eastAsia="仿宋"/>
        </w:rPr>
      </w:pPr>
      <w:bookmarkStart w:id="95" w:name="_Toc15396628"/>
      <w:bookmarkStart w:id="96" w:name="_Toc32162"/>
      <w:r>
        <w:rPr>
          <w:rStyle w:val="26"/>
          <w:rFonts w:hint="eastAsia" w:ascii="仿宋" w:hAnsi="仿宋" w:eastAsia="仿宋"/>
          <w:b w:val="0"/>
          <w:bCs w:val="0"/>
        </w:rPr>
        <w:t>十、</w:t>
      </w:r>
      <w:bookmarkEnd w:id="95"/>
      <w:r>
        <w:rPr>
          <w:rFonts w:hint="eastAsia" w:ascii="仿宋" w:hAnsi="仿宋" w:eastAsia="仿宋"/>
          <w:b w:val="0"/>
        </w:rPr>
        <w:t>政</w:t>
      </w:r>
      <w:r>
        <w:rPr>
          <w:rStyle w:val="26"/>
          <w:rFonts w:hint="eastAsia" w:ascii="仿宋" w:hAnsi="仿宋" w:eastAsia="仿宋"/>
          <w:b w:val="0"/>
          <w:bCs w:val="0"/>
        </w:rPr>
        <w:t>府性基金预算财政拨款收入支出决算表</w:t>
      </w:r>
      <w:bookmarkEnd w:id="96"/>
    </w:p>
    <w:p>
      <w:pPr>
        <w:pStyle w:val="4"/>
        <w:spacing w:before="0" w:after="0" w:line="600" w:lineRule="exact"/>
        <w:rPr>
          <w:rFonts w:ascii="仿宋" w:hAnsi="仿宋" w:eastAsia="仿宋"/>
        </w:rPr>
      </w:pPr>
      <w:bookmarkStart w:id="97" w:name="_Toc15396629"/>
      <w:bookmarkStart w:id="98" w:name="_Toc21126"/>
      <w:r>
        <w:rPr>
          <w:rStyle w:val="26"/>
          <w:rFonts w:hint="eastAsia" w:ascii="仿宋" w:hAnsi="仿宋" w:eastAsia="仿宋"/>
          <w:b w:val="0"/>
          <w:bCs w:val="0"/>
        </w:rPr>
        <w:t>十一、</w:t>
      </w:r>
      <w:bookmarkEnd w:id="97"/>
      <w:r>
        <w:rPr>
          <w:rFonts w:hint="eastAsia" w:ascii="仿宋" w:hAnsi="仿宋" w:eastAsia="仿宋"/>
          <w:b w:val="0"/>
        </w:rPr>
        <w:t>国</w:t>
      </w:r>
      <w:r>
        <w:rPr>
          <w:rStyle w:val="26"/>
          <w:rFonts w:hint="eastAsia" w:ascii="仿宋" w:hAnsi="仿宋" w:eastAsia="仿宋"/>
          <w:b w:val="0"/>
          <w:bCs w:val="0"/>
        </w:rPr>
        <w:t>有资本经营预算财政拨款收入支出决算表</w:t>
      </w:r>
      <w:bookmarkEnd w:id="98"/>
    </w:p>
    <w:p>
      <w:pPr>
        <w:pStyle w:val="4"/>
        <w:spacing w:before="0" w:after="0" w:line="600" w:lineRule="exact"/>
        <w:rPr>
          <w:rFonts w:ascii="仿宋" w:hAnsi="仿宋" w:eastAsia="仿宋"/>
        </w:rPr>
      </w:pPr>
      <w:bookmarkStart w:id="99" w:name="_Toc15396630"/>
      <w:bookmarkStart w:id="100" w:name="_Toc31222"/>
      <w:r>
        <w:rPr>
          <w:rStyle w:val="26"/>
          <w:rFonts w:hint="eastAsia" w:ascii="仿宋" w:hAnsi="仿宋" w:eastAsia="仿宋"/>
          <w:b w:val="0"/>
          <w:bCs w:val="0"/>
        </w:rPr>
        <w:t>十二、</w:t>
      </w:r>
      <w:bookmarkEnd w:id="99"/>
      <w:r>
        <w:rPr>
          <w:rStyle w:val="26"/>
          <w:rFonts w:hint="eastAsia" w:ascii="仿宋" w:hAnsi="仿宋" w:eastAsia="仿宋"/>
          <w:b w:val="0"/>
          <w:bCs w:val="0"/>
        </w:rPr>
        <w:t>国有资本经营预算财政拨款支出决算表</w:t>
      </w:r>
      <w:bookmarkEnd w:id="100"/>
    </w:p>
    <w:p>
      <w:pPr>
        <w:pStyle w:val="4"/>
        <w:spacing w:before="0" w:after="0" w:line="600" w:lineRule="exact"/>
        <w:rPr>
          <w:rFonts w:eastAsia="仿宋"/>
        </w:rPr>
      </w:pPr>
      <w:bookmarkStart w:id="101" w:name="_Toc15396631"/>
      <w:bookmarkStart w:id="102" w:name="_Toc10369"/>
      <w:r>
        <w:rPr>
          <w:rStyle w:val="26"/>
          <w:rFonts w:hint="eastAsia" w:ascii="仿宋" w:hAnsi="仿宋" w:eastAsia="仿宋"/>
          <w:b w:val="0"/>
          <w:bCs w:val="0"/>
        </w:rPr>
        <w:t>十三、</w:t>
      </w:r>
      <w:bookmarkEnd w:id="101"/>
      <w:r>
        <w:rPr>
          <w:rStyle w:val="26"/>
          <w:rFonts w:hint="eastAsia" w:ascii="仿宋" w:hAnsi="仿宋" w:eastAsia="仿宋"/>
          <w:b w:val="0"/>
          <w:bCs w:val="0"/>
        </w:rPr>
        <w:t>财政拨款“三公”经费支出决算表</w:t>
      </w:r>
      <w:bookmarkEnd w:id="102"/>
    </w:p>
    <w:sectPr>
      <w:footerReference r:id="rId11" w:type="first"/>
      <w:footerReference r:id="rId10" w:type="default"/>
      <w:pgSz w:w="11906" w:h="16838"/>
      <w:pgMar w:top="1440" w:right="1800" w:bottom="1440" w:left="1800" w:header="851" w:footer="992" w:gutter="0"/>
      <w:pgNumType w:fmt="decimal" w:start="4"/>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p>
  <w:p>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1031" o:spid="_x0000_s1031"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p>
    <w:pPr>
      <w:pStyle w:val="8"/>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KVIPQyAgAAYQQAAA4AAABkcnMvZTJvRG9jLnhtbK1UzY7TMBC+I/EO&#10;lu80aRGrbt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pUg9DICAABhBAAADgAAAAAAAAABACAAAAAfAQAAZHJzL2Uyb0RvYy54bWxQSwUG&#10;AAAAAAYABgBZAQAAwwUAAAAA&#10;">
          <v:path/>
          <v:fill on="f" focussize="0,0"/>
          <v:stroke on="f" weight="0.5pt" joinstyle="miter"/>
          <v:imagedata o:title=""/>
          <o:lock v:ext="edit"/>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rPr>
        <w:sz w:val="18"/>
      </w:rPr>
      <w:pict>
        <v:shape id="_x0000_s1032" o:spid="_x0000_s1032"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p>
    <w:pPr>
      <w:pStyle w:val="8"/>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pPr>
    <w:r>
      <w:pict>
        <v:shape id="_x0000_s1027" o:spid="_x0000_s1027"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weight="0.5pt"/>
          <v:imagedata o:title=""/>
          <o:lock v:ext="edit" aspectratio="f"/>
          <v:textbox inset="0mm,0mm,0mm,0mm" style="mso-fit-shape-to-text:t;">
            <w:txbxContent>
              <w:sdt>
                <w:sdtPr>
                  <w:id w:val="-1994781956"/>
                </w:sdtPr>
                <w:sdtContent>
                  <w:p>
                    <w:pPr>
                      <w:pStyle w:val="8"/>
                      <w:jc w:val="center"/>
                    </w:pPr>
                    <w:r>
                      <w:fldChar w:fldCharType="begin"/>
                    </w:r>
                    <w:r>
                      <w:instrText xml:space="preserve">PAGE   \* MERGEFORMAT</w:instrText>
                    </w:r>
                    <w:r>
                      <w:fldChar w:fldCharType="separate"/>
                    </w:r>
                    <w:r>
                      <w:rPr>
                        <w:lang w:val="zh-CN"/>
                      </w:rPr>
                      <w:t>14</w:t>
                    </w:r>
                    <w:r>
                      <w:fldChar w:fldCharType="end"/>
                    </w:r>
                  </w:p>
                </w:sdtContent>
              </w:sdt>
              <w:p>
                <w:pPr>
                  <w:pStyle w:val="2"/>
                  <w:spacing w:before="72"/>
                </w:pPr>
              </w:p>
            </w:txbxContent>
          </v:textbox>
        </v:shape>
      </w:pict>
    </w:r>
  </w:p>
  <w:p>
    <w:pPr>
      <w:pStyle w:val="8"/>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pict>
        <v:shape id="_x0000_s1028" o:spid="_x0000_s1028"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F652CEC"/>
    <w:multiLevelType w:val="singleLevel"/>
    <w:tmpl w:val="CF652CEC"/>
    <w:lvl w:ilvl="0" w:tentative="0">
      <w:start w:val="9"/>
      <w:numFmt w:val="chineseCounting"/>
      <w:suff w:val="nothing"/>
      <w:lvlText w:val="%1、"/>
      <w:lvlJc w:val="left"/>
      <w:rPr>
        <w:rFonts w:hint="eastAsia"/>
      </w:rPr>
    </w:lvl>
  </w:abstractNum>
  <w:abstractNum w:abstractNumId="1">
    <w:nsid w:val="E2FA047D"/>
    <w:multiLevelType w:val="singleLevel"/>
    <w:tmpl w:val="E2FA047D"/>
    <w:lvl w:ilvl="0" w:tentative="0">
      <w:start w:val="3"/>
      <w:numFmt w:val="chineseCounting"/>
      <w:suff w:val="space"/>
      <w:lvlText w:val="第%1部分"/>
      <w:lvlJc w:val="left"/>
      <w:rPr>
        <w:rFonts w:hint="eastAsia" w:ascii="黑体" w:hAnsi="黑体" w:eastAsia="黑体" w:cs="黑体"/>
        <w:sz w:val="44"/>
        <w:szCs w:val="44"/>
      </w:rPr>
    </w:lvl>
  </w:abstractNum>
  <w:abstractNum w:abstractNumId="2">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156"/>
  <w:noPunctuationKerning w:val="1"/>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NWY4N2NlMjI3NTg3MWVhNzUzNGFhOGZkMzBhZDFlOTMifQ=="/>
  </w:docVars>
  <w:rsids>
    <w:rsidRoot w:val="00F1361C"/>
    <w:rsid w:val="000222C6"/>
    <w:rsid w:val="0002549F"/>
    <w:rsid w:val="000468DB"/>
    <w:rsid w:val="0006487A"/>
    <w:rsid w:val="00065F8F"/>
    <w:rsid w:val="00070A43"/>
    <w:rsid w:val="000768F2"/>
    <w:rsid w:val="0009184B"/>
    <w:rsid w:val="00094236"/>
    <w:rsid w:val="0009593C"/>
    <w:rsid w:val="00097322"/>
    <w:rsid w:val="000A6A92"/>
    <w:rsid w:val="000B047F"/>
    <w:rsid w:val="000B5923"/>
    <w:rsid w:val="000B5A48"/>
    <w:rsid w:val="000B6FF3"/>
    <w:rsid w:val="000C3467"/>
    <w:rsid w:val="000C3CA6"/>
    <w:rsid w:val="000D1267"/>
    <w:rsid w:val="000D1D50"/>
    <w:rsid w:val="000D5782"/>
    <w:rsid w:val="000E6613"/>
    <w:rsid w:val="000E7119"/>
    <w:rsid w:val="00114E9B"/>
    <w:rsid w:val="001164B4"/>
    <w:rsid w:val="00142216"/>
    <w:rsid w:val="00144D6A"/>
    <w:rsid w:val="0014729F"/>
    <w:rsid w:val="00157BAB"/>
    <w:rsid w:val="001654D1"/>
    <w:rsid w:val="00174518"/>
    <w:rsid w:val="0018106D"/>
    <w:rsid w:val="001877A7"/>
    <w:rsid w:val="00191536"/>
    <w:rsid w:val="00196687"/>
    <w:rsid w:val="001C0962"/>
    <w:rsid w:val="001D7531"/>
    <w:rsid w:val="001E737D"/>
    <w:rsid w:val="001F0592"/>
    <w:rsid w:val="001F7506"/>
    <w:rsid w:val="002006CD"/>
    <w:rsid w:val="00202B36"/>
    <w:rsid w:val="00204B7A"/>
    <w:rsid w:val="00204CDE"/>
    <w:rsid w:val="0021101A"/>
    <w:rsid w:val="00220536"/>
    <w:rsid w:val="00235629"/>
    <w:rsid w:val="00260C38"/>
    <w:rsid w:val="002616C0"/>
    <w:rsid w:val="00265372"/>
    <w:rsid w:val="002662AA"/>
    <w:rsid w:val="00280496"/>
    <w:rsid w:val="00294DC9"/>
    <w:rsid w:val="00295495"/>
    <w:rsid w:val="002A31DE"/>
    <w:rsid w:val="002B2613"/>
    <w:rsid w:val="002D6D05"/>
    <w:rsid w:val="002F1818"/>
    <w:rsid w:val="002F567B"/>
    <w:rsid w:val="003216A9"/>
    <w:rsid w:val="00335A74"/>
    <w:rsid w:val="0036561B"/>
    <w:rsid w:val="0037013F"/>
    <w:rsid w:val="00380C92"/>
    <w:rsid w:val="003A484F"/>
    <w:rsid w:val="003A4883"/>
    <w:rsid w:val="003B0BE0"/>
    <w:rsid w:val="003B0C1B"/>
    <w:rsid w:val="003B688C"/>
    <w:rsid w:val="003C0291"/>
    <w:rsid w:val="003C39AE"/>
    <w:rsid w:val="003C7B60"/>
    <w:rsid w:val="003D0C0F"/>
    <w:rsid w:val="003D1FB2"/>
    <w:rsid w:val="003D66DA"/>
    <w:rsid w:val="003E1310"/>
    <w:rsid w:val="003E6F55"/>
    <w:rsid w:val="00406254"/>
    <w:rsid w:val="004223DE"/>
    <w:rsid w:val="00434489"/>
    <w:rsid w:val="00437085"/>
    <w:rsid w:val="00443880"/>
    <w:rsid w:val="004464F4"/>
    <w:rsid w:val="00471401"/>
    <w:rsid w:val="00473F31"/>
    <w:rsid w:val="0048263A"/>
    <w:rsid w:val="00485D74"/>
    <w:rsid w:val="00487E5D"/>
    <w:rsid w:val="004A711F"/>
    <w:rsid w:val="004B199D"/>
    <w:rsid w:val="004B4690"/>
    <w:rsid w:val="004E0A2D"/>
    <w:rsid w:val="004E206B"/>
    <w:rsid w:val="004E6DF7"/>
    <w:rsid w:val="004F0FBD"/>
    <w:rsid w:val="00505A47"/>
    <w:rsid w:val="00512FDA"/>
    <w:rsid w:val="00520DA0"/>
    <w:rsid w:val="005664BB"/>
    <w:rsid w:val="00566FFA"/>
    <w:rsid w:val="0057481D"/>
    <w:rsid w:val="0058486E"/>
    <w:rsid w:val="00585B33"/>
    <w:rsid w:val="0059014D"/>
    <w:rsid w:val="005B5C64"/>
    <w:rsid w:val="005C5337"/>
    <w:rsid w:val="005C6BD0"/>
    <w:rsid w:val="005D1C8B"/>
    <w:rsid w:val="005D468D"/>
    <w:rsid w:val="005D5CED"/>
    <w:rsid w:val="005F1A4C"/>
    <w:rsid w:val="00605688"/>
    <w:rsid w:val="006070AF"/>
    <w:rsid w:val="00607E6C"/>
    <w:rsid w:val="006101B1"/>
    <w:rsid w:val="00614E44"/>
    <w:rsid w:val="0062270A"/>
    <w:rsid w:val="00622830"/>
    <w:rsid w:val="00623DA0"/>
    <w:rsid w:val="00630AEF"/>
    <w:rsid w:val="006325F8"/>
    <w:rsid w:val="00633463"/>
    <w:rsid w:val="00634C9A"/>
    <w:rsid w:val="006440E4"/>
    <w:rsid w:val="0066343B"/>
    <w:rsid w:val="00664777"/>
    <w:rsid w:val="006748A4"/>
    <w:rsid w:val="00681A31"/>
    <w:rsid w:val="00683E73"/>
    <w:rsid w:val="006A3141"/>
    <w:rsid w:val="006A5E34"/>
    <w:rsid w:val="006B2422"/>
    <w:rsid w:val="006B2B9A"/>
    <w:rsid w:val="006C1937"/>
    <w:rsid w:val="006F020C"/>
    <w:rsid w:val="007127B7"/>
    <w:rsid w:val="0071798E"/>
    <w:rsid w:val="007416B6"/>
    <w:rsid w:val="00746F48"/>
    <w:rsid w:val="0075404D"/>
    <w:rsid w:val="0076182A"/>
    <w:rsid w:val="00767B7E"/>
    <w:rsid w:val="007770C3"/>
    <w:rsid w:val="00784D24"/>
    <w:rsid w:val="00785FBA"/>
    <w:rsid w:val="00786E4A"/>
    <w:rsid w:val="007875EB"/>
    <w:rsid w:val="0079426B"/>
    <w:rsid w:val="007D1682"/>
    <w:rsid w:val="007D312A"/>
    <w:rsid w:val="007D3F19"/>
    <w:rsid w:val="007E23B0"/>
    <w:rsid w:val="007E23E5"/>
    <w:rsid w:val="007F1991"/>
    <w:rsid w:val="007F2C2F"/>
    <w:rsid w:val="007F55FC"/>
    <w:rsid w:val="007F5665"/>
    <w:rsid w:val="00800112"/>
    <w:rsid w:val="00813348"/>
    <w:rsid w:val="008253BB"/>
    <w:rsid w:val="0083706E"/>
    <w:rsid w:val="008408F6"/>
    <w:rsid w:val="008423A5"/>
    <w:rsid w:val="00850625"/>
    <w:rsid w:val="00853718"/>
    <w:rsid w:val="00855221"/>
    <w:rsid w:val="00860645"/>
    <w:rsid w:val="00871F71"/>
    <w:rsid w:val="00872FD8"/>
    <w:rsid w:val="00883A74"/>
    <w:rsid w:val="00885AF4"/>
    <w:rsid w:val="008939CD"/>
    <w:rsid w:val="008B768C"/>
    <w:rsid w:val="008C4DB1"/>
    <w:rsid w:val="008C4EAF"/>
    <w:rsid w:val="008C5176"/>
    <w:rsid w:val="008C7FD0"/>
    <w:rsid w:val="008E1DE7"/>
    <w:rsid w:val="008E707C"/>
    <w:rsid w:val="00900B08"/>
    <w:rsid w:val="00902155"/>
    <w:rsid w:val="00902FA3"/>
    <w:rsid w:val="00923564"/>
    <w:rsid w:val="0092392E"/>
    <w:rsid w:val="009315F9"/>
    <w:rsid w:val="00933499"/>
    <w:rsid w:val="00935C98"/>
    <w:rsid w:val="00946945"/>
    <w:rsid w:val="00951248"/>
    <w:rsid w:val="0095152F"/>
    <w:rsid w:val="00954C49"/>
    <w:rsid w:val="00955E37"/>
    <w:rsid w:val="0097099F"/>
    <w:rsid w:val="00971997"/>
    <w:rsid w:val="00971FFC"/>
    <w:rsid w:val="0098660A"/>
    <w:rsid w:val="009931C3"/>
    <w:rsid w:val="009A4A0E"/>
    <w:rsid w:val="009B2C43"/>
    <w:rsid w:val="009B4EAE"/>
    <w:rsid w:val="009B7573"/>
    <w:rsid w:val="009C22F4"/>
    <w:rsid w:val="009C2A4B"/>
    <w:rsid w:val="009C2E98"/>
    <w:rsid w:val="009D3447"/>
    <w:rsid w:val="009D4711"/>
    <w:rsid w:val="009F1185"/>
    <w:rsid w:val="009F18CD"/>
    <w:rsid w:val="009F2A13"/>
    <w:rsid w:val="009F7527"/>
    <w:rsid w:val="00A04EB0"/>
    <w:rsid w:val="00A13CC1"/>
    <w:rsid w:val="00A16847"/>
    <w:rsid w:val="00A237D8"/>
    <w:rsid w:val="00A268C4"/>
    <w:rsid w:val="00A307CD"/>
    <w:rsid w:val="00A331C8"/>
    <w:rsid w:val="00A40A00"/>
    <w:rsid w:val="00A4142F"/>
    <w:rsid w:val="00A422EB"/>
    <w:rsid w:val="00A45BB7"/>
    <w:rsid w:val="00A56DF2"/>
    <w:rsid w:val="00A56E6E"/>
    <w:rsid w:val="00A67AB5"/>
    <w:rsid w:val="00A733B2"/>
    <w:rsid w:val="00A741C2"/>
    <w:rsid w:val="00A91760"/>
    <w:rsid w:val="00A93B00"/>
    <w:rsid w:val="00A93C21"/>
    <w:rsid w:val="00A95AE8"/>
    <w:rsid w:val="00AB64C9"/>
    <w:rsid w:val="00AC3C6A"/>
    <w:rsid w:val="00AD5620"/>
    <w:rsid w:val="00AD656B"/>
    <w:rsid w:val="00AD7C1B"/>
    <w:rsid w:val="00AE16BA"/>
    <w:rsid w:val="00AE1EBE"/>
    <w:rsid w:val="00AF2C31"/>
    <w:rsid w:val="00B03C9D"/>
    <w:rsid w:val="00B060AE"/>
    <w:rsid w:val="00B10517"/>
    <w:rsid w:val="00B14E76"/>
    <w:rsid w:val="00B161B8"/>
    <w:rsid w:val="00B2048C"/>
    <w:rsid w:val="00B22BA0"/>
    <w:rsid w:val="00B310B9"/>
    <w:rsid w:val="00B35F3F"/>
    <w:rsid w:val="00B36CBB"/>
    <w:rsid w:val="00B425E0"/>
    <w:rsid w:val="00B440AA"/>
    <w:rsid w:val="00B44B70"/>
    <w:rsid w:val="00B53C56"/>
    <w:rsid w:val="00B57DAF"/>
    <w:rsid w:val="00B77EA6"/>
    <w:rsid w:val="00B81598"/>
    <w:rsid w:val="00B841F1"/>
    <w:rsid w:val="00B944D6"/>
    <w:rsid w:val="00BB4DF0"/>
    <w:rsid w:val="00BC289F"/>
    <w:rsid w:val="00BC2D50"/>
    <w:rsid w:val="00BC5361"/>
    <w:rsid w:val="00BC5460"/>
    <w:rsid w:val="00BC6B50"/>
    <w:rsid w:val="00BD0E25"/>
    <w:rsid w:val="00BF5BD6"/>
    <w:rsid w:val="00C03E31"/>
    <w:rsid w:val="00C33E72"/>
    <w:rsid w:val="00C354B2"/>
    <w:rsid w:val="00C35554"/>
    <w:rsid w:val="00C42709"/>
    <w:rsid w:val="00C533CC"/>
    <w:rsid w:val="00C5751C"/>
    <w:rsid w:val="00C61BFC"/>
    <w:rsid w:val="00C62B85"/>
    <w:rsid w:val="00C65438"/>
    <w:rsid w:val="00C87FD8"/>
    <w:rsid w:val="00C91381"/>
    <w:rsid w:val="00C91CBB"/>
    <w:rsid w:val="00CB1146"/>
    <w:rsid w:val="00CB4E70"/>
    <w:rsid w:val="00CC09B6"/>
    <w:rsid w:val="00CC666F"/>
    <w:rsid w:val="00CD1E3F"/>
    <w:rsid w:val="00CE44F6"/>
    <w:rsid w:val="00CE49DA"/>
    <w:rsid w:val="00CE7B61"/>
    <w:rsid w:val="00D00095"/>
    <w:rsid w:val="00D114F0"/>
    <w:rsid w:val="00D20620"/>
    <w:rsid w:val="00D254F7"/>
    <w:rsid w:val="00D26091"/>
    <w:rsid w:val="00D2685C"/>
    <w:rsid w:val="00D34E7C"/>
    <w:rsid w:val="00D35489"/>
    <w:rsid w:val="00D36AFE"/>
    <w:rsid w:val="00D51276"/>
    <w:rsid w:val="00D7035F"/>
    <w:rsid w:val="00DA1DA0"/>
    <w:rsid w:val="00DA634F"/>
    <w:rsid w:val="00DA65AC"/>
    <w:rsid w:val="00DB1913"/>
    <w:rsid w:val="00DC410D"/>
    <w:rsid w:val="00DC5A81"/>
    <w:rsid w:val="00DC68CA"/>
    <w:rsid w:val="00DC7CBA"/>
    <w:rsid w:val="00DD73B7"/>
    <w:rsid w:val="00DF28BC"/>
    <w:rsid w:val="00DF34B9"/>
    <w:rsid w:val="00E01053"/>
    <w:rsid w:val="00E07ACF"/>
    <w:rsid w:val="00E331A1"/>
    <w:rsid w:val="00E33202"/>
    <w:rsid w:val="00E336A9"/>
    <w:rsid w:val="00E472B1"/>
    <w:rsid w:val="00E50624"/>
    <w:rsid w:val="00E568DF"/>
    <w:rsid w:val="00E64269"/>
    <w:rsid w:val="00E82267"/>
    <w:rsid w:val="00E853CE"/>
    <w:rsid w:val="00E867B6"/>
    <w:rsid w:val="00EA010F"/>
    <w:rsid w:val="00ED1B63"/>
    <w:rsid w:val="00ED3C1F"/>
    <w:rsid w:val="00ED4085"/>
    <w:rsid w:val="00ED420E"/>
    <w:rsid w:val="00ED6FBE"/>
    <w:rsid w:val="00EE2527"/>
    <w:rsid w:val="00EE2F57"/>
    <w:rsid w:val="00EF4C34"/>
    <w:rsid w:val="00EF77C6"/>
    <w:rsid w:val="00F05438"/>
    <w:rsid w:val="00F1361C"/>
    <w:rsid w:val="00F156F0"/>
    <w:rsid w:val="00F160C7"/>
    <w:rsid w:val="00F2408F"/>
    <w:rsid w:val="00F240E9"/>
    <w:rsid w:val="00F307FA"/>
    <w:rsid w:val="00F36D8F"/>
    <w:rsid w:val="00F417B1"/>
    <w:rsid w:val="00F45853"/>
    <w:rsid w:val="00F602DF"/>
    <w:rsid w:val="00F754A1"/>
    <w:rsid w:val="00F81FD9"/>
    <w:rsid w:val="00F841AA"/>
    <w:rsid w:val="00F84A94"/>
    <w:rsid w:val="00F87E96"/>
    <w:rsid w:val="00FA23E8"/>
    <w:rsid w:val="00FD3CC1"/>
    <w:rsid w:val="00FF1E02"/>
    <w:rsid w:val="00FF30B4"/>
    <w:rsid w:val="035717DD"/>
    <w:rsid w:val="04051239"/>
    <w:rsid w:val="05BB24F7"/>
    <w:rsid w:val="072B7208"/>
    <w:rsid w:val="078A2181"/>
    <w:rsid w:val="07A41EAB"/>
    <w:rsid w:val="094E3682"/>
    <w:rsid w:val="0A2032A3"/>
    <w:rsid w:val="0A2C60C4"/>
    <w:rsid w:val="0B5E5DFE"/>
    <w:rsid w:val="0B8A37D8"/>
    <w:rsid w:val="0B9B5EA5"/>
    <w:rsid w:val="0BA77BDB"/>
    <w:rsid w:val="0C104C1F"/>
    <w:rsid w:val="0C537D64"/>
    <w:rsid w:val="0CCF7B3F"/>
    <w:rsid w:val="0CEE006E"/>
    <w:rsid w:val="0D35493D"/>
    <w:rsid w:val="0E9658AF"/>
    <w:rsid w:val="10C055FF"/>
    <w:rsid w:val="118107EC"/>
    <w:rsid w:val="11DD6519"/>
    <w:rsid w:val="128B4FFF"/>
    <w:rsid w:val="13BD1AC8"/>
    <w:rsid w:val="16BB723D"/>
    <w:rsid w:val="171A4BA4"/>
    <w:rsid w:val="17E51656"/>
    <w:rsid w:val="18015F3F"/>
    <w:rsid w:val="187456AB"/>
    <w:rsid w:val="19D21766"/>
    <w:rsid w:val="1AF76B5E"/>
    <w:rsid w:val="1B0B13D3"/>
    <w:rsid w:val="1B8D1DE8"/>
    <w:rsid w:val="1BE8440E"/>
    <w:rsid w:val="1C1147C7"/>
    <w:rsid w:val="1D155CEE"/>
    <w:rsid w:val="1D903E12"/>
    <w:rsid w:val="1DC87116"/>
    <w:rsid w:val="1DDC76E8"/>
    <w:rsid w:val="1F234F3D"/>
    <w:rsid w:val="208727B6"/>
    <w:rsid w:val="20F57F95"/>
    <w:rsid w:val="22AD1A38"/>
    <w:rsid w:val="238C0BD7"/>
    <w:rsid w:val="23D305B4"/>
    <w:rsid w:val="23E427C1"/>
    <w:rsid w:val="240371BF"/>
    <w:rsid w:val="24262DDA"/>
    <w:rsid w:val="24AC7783"/>
    <w:rsid w:val="24C846B4"/>
    <w:rsid w:val="25711CC6"/>
    <w:rsid w:val="25C741E6"/>
    <w:rsid w:val="25EB42DB"/>
    <w:rsid w:val="26153106"/>
    <w:rsid w:val="27842671"/>
    <w:rsid w:val="28697739"/>
    <w:rsid w:val="28B44E58"/>
    <w:rsid w:val="299F78B6"/>
    <w:rsid w:val="29FD04D3"/>
    <w:rsid w:val="2A385615"/>
    <w:rsid w:val="2ABE7A3E"/>
    <w:rsid w:val="2AFC4894"/>
    <w:rsid w:val="2CA234A8"/>
    <w:rsid w:val="2D0C4862"/>
    <w:rsid w:val="2EFA178C"/>
    <w:rsid w:val="2FC17E5A"/>
    <w:rsid w:val="30B46D73"/>
    <w:rsid w:val="319F7F4E"/>
    <w:rsid w:val="3431735D"/>
    <w:rsid w:val="36453E58"/>
    <w:rsid w:val="37117919"/>
    <w:rsid w:val="383D272C"/>
    <w:rsid w:val="39AE70AB"/>
    <w:rsid w:val="3AC04EBD"/>
    <w:rsid w:val="3C0C0783"/>
    <w:rsid w:val="3F27682F"/>
    <w:rsid w:val="3F9F3A96"/>
    <w:rsid w:val="40300E10"/>
    <w:rsid w:val="408B4299"/>
    <w:rsid w:val="42486D1A"/>
    <w:rsid w:val="44337121"/>
    <w:rsid w:val="46132D66"/>
    <w:rsid w:val="48390447"/>
    <w:rsid w:val="48BF60AB"/>
    <w:rsid w:val="493C27E9"/>
    <w:rsid w:val="496F39ED"/>
    <w:rsid w:val="49FF41D3"/>
    <w:rsid w:val="4BE068DB"/>
    <w:rsid w:val="4BF6002B"/>
    <w:rsid w:val="4D0258E3"/>
    <w:rsid w:val="4ECE2238"/>
    <w:rsid w:val="4FFF435B"/>
    <w:rsid w:val="503F2373"/>
    <w:rsid w:val="51085492"/>
    <w:rsid w:val="518E45B3"/>
    <w:rsid w:val="51DB4B86"/>
    <w:rsid w:val="51F021AD"/>
    <w:rsid w:val="53772153"/>
    <w:rsid w:val="540957A8"/>
    <w:rsid w:val="55333C3E"/>
    <w:rsid w:val="56F3629C"/>
    <w:rsid w:val="575256B8"/>
    <w:rsid w:val="584119B5"/>
    <w:rsid w:val="59C56616"/>
    <w:rsid w:val="5A696FA1"/>
    <w:rsid w:val="5B631C42"/>
    <w:rsid w:val="5C2770E3"/>
    <w:rsid w:val="5E516D27"/>
    <w:rsid w:val="5F0454EA"/>
    <w:rsid w:val="5F7C32D2"/>
    <w:rsid w:val="5FB378DC"/>
    <w:rsid w:val="6079369F"/>
    <w:rsid w:val="648669A1"/>
    <w:rsid w:val="648D7D30"/>
    <w:rsid w:val="64CA39A1"/>
    <w:rsid w:val="64D21BE7"/>
    <w:rsid w:val="652561BA"/>
    <w:rsid w:val="65AE61B0"/>
    <w:rsid w:val="6780243A"/>
    <w:rsid w:val="6784541A"/>
    <w:rsid w:val="68710899"/>
    <w:rsid w:val="69630ADE"/>
    <w:rsid w:val="69731BEA"/>
    <w:rsid w:val="6A445335"/>
    <w:rsid w:val="6A731776"/>
    <w:rsid w:val="6AA162E3"/>
    <w:rsid w:val="6B680BAF"/>
    <w:rsid w:val="6C202969"/>
    <w:rsid w:val="6C4A05C8"/>
    <w:rsid w:val="6CE377B6"/>
    <w:rsid w:val="6D1A237D"/>
    <w:rsid w:val="6D3B1A89"/>
    <w:rsid w:val="6D9A2A48"/>
    <w:rsid w:val="6EB048DE"/>
    <w:rsid w:val="6EB5235D"/>
    <w:rsid w:val="70D80585"/>
    <w:rsid w:val="70DA42FD"/>
    <w:rsid w:val="71BF4EC2"/>
    <w:rsid w:val="72734D90"/>
    <w:rsid w:val="736D1458"/>
    <w:rsid w:val="73807813"/>
    <w:rsid w:val="73AA6208"/>
    <w:rsid w:val="73ED5DA0"/>
    <w:rsid w:val="7412278C"/>
    <w:rsid w:val="743E4BA3"/>
    <w:rsid w:val="754548A5"/>
    <w:rsid w:val="75475CD9"/>
    <w:rsid w:val="77A94A29"/>
    <w:rsid w:val="78CC05E7"/>
    <w:rsid w:val="79E7B28D"/>
    <w:rsid w:val="7A2D6B2D"/>
    <w:rsid w:val="7B566C76"/>
    <w:rsid w:val="7BD37352"/>
    <w:rsid w:val="7C8810B1"/>
    <w:rsid w:val="7D5E0064"/>
    <w:rsid w:val="7E8B4E88"/>
    <w:rsid w:val="7EF74785"/>
    <w:rsid w:val="7F9935D5"/>
    <w:rsid w:val="7F9F20EE"/>
    <w:rsid w:val="9E3A10E2"/>
    <w:rsid w:val="F2E1F9D4"/>
    <w:rsid w:val="F7880819"/>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99"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99"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25"/>
    <w:qFormat/>
    <w:uiPriority w:val="9"/>
    <w:pPr>
      <w:keepNext/>
      <w:keepLines/>
      <w:spacing w:before="340" w:after="330" w:line="578" w:lineRule="auto"/>
      <w:outlineLvl w:val="0"/>
    </w:pPr>
    <w:rPr>
      <w:b/>
      <w:bCs/>
      <w:kern w:val="44"/>
      <w:sz w:val="44"/>
      <w:szCs w:val="44"/>
    </w:rPr>
  </w:style>
  <w:style w:type="paragraph" w:styleId="4">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9"/>
    <w:unhideWhenUsed/>
    <w:qFormat/>
    <w:uiPriority w:val="9"/>
    <w:pPr>
      <w:keepNext/>
      <w:keepLines/>
      <w:spacing w:before="260" w:after="260" w:line="416" w:lineRule="auto"/>
      <w:outlineLvl w:val="2"/>
    </w:pPr>
    <w:rPr>
      <w:b/>
      <w:bCs/>
      <w:sz w:val="32"/>
      <w:szCs w:val="32"/>
    </w:rPr>
  </w:style>
  <w:style w:type="character" w:default="1" w:styleId="14">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next w:val="1"/>
    <w:link w:val="22"/>
    <w:qFormat/>
    <w:uiPriority w:val="99"/>
    <w:pPr>
      <w:spacing w:beforeLines="30"/>
    </w:pPr>
    <w:rPr>
      <w:rFonts w:ascii="仿宋_GB2312" w:eastAsia="仿宋_GB2312"/>
      <w:kern w:val="0"/>
      <w:sz w:val="30"/>
    </w:rPr>
  </w:style>
  <w:style w:type="paragraph" w:styleId="6">
    <w:name w:val="toc 3"/>
    <w:basedOn w:val="1"/>
    <w:next w:val="1"/>
    <w:unhideWhenUsed/>
    <w:qFormat/>
    <w:uiPriority w:val="39"/>
    <w:pPr>
      <w:tabs>
        <w:tab w:val="right" w:leader="dot" w:pos="8296"/>
      </w:tabs>
      <w:ind w:left="840" w:leftChars="400"/>
    </w:pPr>
  </w:style>
  <w:style w:type="paragraph" w:styleId="7">
    <w:name w:val="Balloon Text"/>
    <w:basedOn w:val="1"/>
    <w:link w:val="28"/>
    <w:semiHidden/>
    <w:unhideWhenUsed/>
    <w:qFormat/>
    <w:uiPriority w:val="99"/>
    <w:rPr>
      <w:sz w:val="18"/>
      <w:szCs w:val="18"/>
    </w:rPr>
  </w:style>
  <w:style w:type="paragraph" w:styleId="8">
    <w:name w:val="footer"/>
    <w:basedOn w:val="1"/>
    <w:link w:val="20"/>
    <w:qFormat/>
    <w:uiPriority w:val="99"/>
    <w:pPr>
      <w:tabs>
        <w:tab w:val="center" w:pos="4153"/>
        <w:tab w:val="right" w:pos="8306"/>
      </w:tabs>
      <w:snapToGrid w:val="0"/>
      <w:jc w:val="left"/>
    </w:pPr>
    <w:rPr>
      <w:rFonts w:ascii="Calibri" w:hAnsi="Calibri"/>
      <w:kern w:val="0"/>
      <w:sz w:val="18"/>
      <w:szCs w:val="18"/>
    </w:rPr>
  </w:style>
  <w:style w:type="paragraph" w:styleId="9">
    <w:name w:val="header"/>
    <w:basedOn w:val="1"/>
    <w:link w:val="18"/>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0">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1">
    <w:name w:val="toc 2"/>
    <w:basedOn w:val="1"/>
    <w:next w:val="1"/>
    <w:unhideWhenUsed/>
    <w:qFormat/>
    <w:uiPriority w:val="39"/>
    <w:pPr>
      <w:tabs>
        <w:tab w:val="right" w:leader="dot" w:pos="8296"/>
      </w:tabs>
      <w:ind w:left="420" w:leftChars="200"/>
    </w:pPr>
  </w:style>
  <w:style w:type="paragraph" w:styleId="12">
    <w:name w:val="Normal (Web)"/>
    <w:basedOn w:val="1"/>
    <w:semiHidden/>
    <w:unhideWhenUsed/>
    <w:qFormat/>
    <w:uiPriority w:val="99"/>
    <w:pPr>
      <w:spacing w:beforeAutospacing="1" w:afterAutospacing="1"/>
      <w:jc w:val="left"/>
    </w:pPr>
    <w:rPr>
      <w:kern w:val="0"/>
      <w:sz w:val="24"/>
    </w:rPr>
  </w:style>
  <w:style w:type="character" w:styleId="15">
    <w:name w:val="Strong"/>
    <w:basedOn w:val="14"/>
    <w:qFormat/>
    <w:uiPriority w:val="99"/>
    <w:rPr>
      <w:b/>
    </w:rPr>
  </w:style>
  <w:style w:type="character" w:styleId="16">
    <w:name w:val="Hyperlink"/>
    <w:basedOn w:val="14"/>
    <w:unhideWhenUsed/>
    <w:qFormat/>
    <w:uiPriority w:val="99"/>
    <w:rPr>
      <w:color w:val="0000FF" w:themeColor="hyperlink"/>
      <w:u w:val="single"/>
    </w:rPr>
  </w:style>
  <w:style w:type="character" w:customStyle="1" w:styleId="17">
    <w:name w:val="Header Char"/>
    <w:basedOn w:val="14"/>
    <w:semiHidden/>
    <w:qFormat/>
    <w:uiPriority w:val="99"/>
    <w:rPr>
      <w:rFonts w:ascii="Times New Roman" w:hAnsi="Times New Roman"/>
      <w:sz w:val="18"/>
      <w:szCs w:val="18"/>
    </w:rPr>
  </w:style>
  <w:style w:type="character" w:customStyle="1" w:styleId="18">
    <w:name w:val="页眉 Char"/>
    <w:link w:val="9"/>
    <w:semiHidden/>
    <w:qFormat/>
    <w:locked/>
    <w:uiPriority w:val="99"/>
    <w:rPr>
      <w:sz w:val="18"/>
    </w:rPr>
  </w:style>
  <w:style w:type="character" w:customStyle="1" w:styleId="19">
    <w:name w:val="Footer Char"/>
    <w:basedOn w:val="14"/>
    <w:semiHidden/>
    <w:qFormat/>
    <w:uiPriority w:val="99"/>
    <w:rPr>
      <w:rFonts w:ascii="Times New Roman" w:hAnsi="Times New Roman"/>
      <w:sz w:val="18"/>
      <w:szCs w:val="18"/>
    </w:rPr>
  </w:style>
  <w:style w:type="character" w:customStyle="1" w:styleId="20">
    <w:name w:val="页脚 Char"/>
    <w:link w:val="8"/>
    <w:qFormat/>
    <w:locked/>
    <w:uiPriority w:val="99"/>
    <w:rPr>
      <w:sz w:val="18"/>
    </w:rPr>
  </w:style>
  <w:style w:type="character" w:customStyle="1" w:styleId="21">
    <w:name w:val="Body Text Char"/>
    <w:basedOn w:val="14"/>
    <w:semiHidden/>
    <w:qFormat/>
    <w:uiPriority w:val="99"/>
    <w:rPr>
      <w:rFonts w:ascii="Times New Roman" w:hAnsi="Times New Roman"/>
      <w:szCs w:val="24"/>
    </w:rPr>
  </w:style>
  <w:style w:type="character" w:customStyle="1" w:styleId="22">
    <w:name w:val="正文文本 Char"/>
    <w:link w:val="2"/>
    <w:qFormat/>
    <w:locked/>
    <w:uiPriority w:val="99"/>
    <w:rPr>
      <w:rFonts w:ascii="仿宋_GB2312" w:hAnsi="Times New Roman" w:eastAsia="仿宋_GB2312"/>
      <w:sz w:val="24"/>
    </w:rPr>
  </w:style>
  <w:style w:type="paragraph" w:customStyle="1" w:styleId="23">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styleId="24">
    <w:name w:val="List Paragraph"/>
    <w:basedOn w:val="1"/>
    <w:qFormat/>
    <w:uiPriority w:val="34"/>
    <w:pPr>
      <w:ind w:firstLine="420" w:firstLineChars="200"/>
    </w:pPr>
  </w:style>
  <w:style w:type="character" w:customStyle="1" w:styleId="25">
    <w:name w:val="标题 1 Char"/>
    <w:basedOn w:val="14"/>
    <w:link w:val="3"/>
    <w:qFormat/>
    <w:uiPriority w:val="9"/>
    <w:rPr>
      <w:rFonts w:ascii="Times New Roman" w:hAnsi="Times New Roman"/>
      <w:b/>
      <w:bCs/>
      <w:kern w:val="44"/>
      <w:sz w:val="44"/>
      <w:szCs w:val="44"/>
    </w:rPr>
  </w:style>
  <w:style w:type="character" w:customStyle="1" w:styleId="26">
    <w:name w:val="标题 2 Char"/>
    <w:basedOn w:val="14"/>
    <w:link w:val="4"/>
    <w:qFormat/>
    <w:uiPriority w:val="9"/>
    <w:rPr>
      <w:rFonts w:asciiTheme="majorHAnsi" w:hAnsiTheme="majorHAnsi" w:eastAsiaTheme="majorEastAsia" w:cstheme="majorBidi"/>
      <w:b/>
      <w:bCs/>
      <w:kern w:val="2"/>
      <w:sz w:val="32"/>
      <w:szCs w:val="32"/>
    </w:rPr>
  </w:style>
  <w:style w:type="paragraph" w:customStyle="1" w:styleId="27">
    <w:name w:val="TOC 标题1"/>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character" w:customStyle="1" w:styleId="28">
    <w:name w:val="批注框文本 Char"/>
    <w:basedOn w:val="14"/>
    <w:link w:val="7"/>
    <w:semiHidden/>
    <w:qFormat/>
    <w:uiPriority w:val="99"/>
    <w:rPr>
      <w:rFonts w:ascii="Times New Roman" w:hAnsi="Times New Roman"/>
      <w:kern w:val="2"/>
      <w:sz w:val="18"/>
      <w:szCs w:val="18"/>
    </w:rPr>
  </w:style>
  <w:style w:type="character" w:customStyle="1" w:styleId="29">
    <w:name w:val="标题 3 Char"/>
    <w:basedOn w:val="14"/>
    <w:link w:val="5"/>
    <w:qFormat/>
    <w:uiPriority w:val="9"/>
    <w:rPr>
      <w:rFonts w:ascii="Times New Roman" w:hAnsi="Times New Roman"/>
      <w:b/>
      <w:bCs/>
      <w:kern w:val="2"/>
      <w:sz w:val="32"/>
      <w:szCs w:val="32"/>
    </w:rPr>
  </w:style>
  <w:style w:type="paragraph" w:customStyle="1" w:styleId="30">
    <w:name w:val="TOC 标题2"/>
    <w:basedOn w:val="3"/>
    <w:next w:val="1"/>
    <w:unhideWhenUsed/>
    <w:qFormat/>
    <w:uiPriority w:val="39"/>
    <w:pPr>
      <w:widowControl/>
      <w:spacing w:before="480" w:after="0" w:line="276" w:lineRule="auto"/>
      <w:jc w:val="left"/>
      <w:outlineLvl w:val="9"/>
    </w:pPr>
    <w:rPr>
      <w:rFonts w:asciiTheme="majorHAnsi" w:hAnsiTheme="majorHAnsi" w:eastAsiaTheme="majorEastAsia" w:cstheme="majorBidi"/>
      <w:color w:val="366091" w:themeColor="accent1" w:themeShade="BF"/>
      <w:kern w:val="0"/>
      <w:sz w:val="28"/>
      <w:szCs w:val="28"/>
    </w:rPr>
  </w:style>
  <w:style w:type="paragraph" w:customStyle="1" w:styleId="31">
    <w:name w:val="WPSOffice手动目录 1"/>
    <w:qFormat/>
    <w:uiPriority w:val="0"/>
    <w:rPr>
      <w:rFonts w:ascii="Times New Roman" w:hAnsi="Times New Roman" w:eastAsia="宋体" w:cs="Times New Roman"/>
      <w:lang w:val="en-US" w:eastAsia="zh-CN" w:bidi="ar-SA"/>
    </w:rPr>
  </w:style>
  <w:style w:type="paragraph" w:customStyle="1" w:styleId="32">
    <w:name w:val="WPSOffice手动目录 2"/>
    <w:qFormat/>
    <w:uiPriority w:val="0"/>
    <w:pPr>
      <w:ind w:left="200" w:leftChars="200"/>
    </w:pPr>
    <w:rPr>
      <w:rFonts w:ascii="Times New Roman" w:hAnsi="Times New Roman" w:eastAsia="宋体" w:cs="Times New Roman"/>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2" Type="http://schemas.openxmlformats.org/officeDocument/2006/relationships/fontTable" Target="fontTable.xml"/><Relationship Id="rId21" Type="http://schemas.openxmlformats.org/officeDocument/2006/relationships/numbering" Target="numbering.xml"/><Relationship Id="rId20" Type="http://schemas.openxmlformats.org/officeDocument/2006/relationships/customXml" Target="../customXml/item1.xml"/><Relationship Id="rId2" Type="http://schemas.openxmlformats.org/officeDocument/2006/relationships/settings" Target="settings.xml"/><Relationship Id="rId19" Type="http://schemas.openxmlformats.org/officeDocument/2006/relationships/chart" Target="charts/chart7.xml"/><Relationship Id="rId18" Type="http://schemas.openxmlformats.org/officeDocument/2006/relationships/chart" Target="charts/chart6.xml"/><Relationship Id="rId17" Type="http://schemas.openxmlformats.org/officeDocument/2006/relationships/chart" Target="charts/chart5.xml"/><Relationship Id="rId16" Type="http://schemas.openxmlformats.org/officeDocument/2006/relationships/chart" Target="charts/chart4.xml"/><Relationship Id="rId15" Type="http://schemas.openxmlformats.org/officeDocument/2006/relationships/chart" Target="charts/chart3.xml"/><Relationship Id="rId14" Type="http://schemas.openxmlformats.org/officeDocument/2006/relationships/chart" Target="charts/chart2.xml"/><Relationship Id="rId13" Type="http://schemas.openxmlformats.org/officeDocument/2006/relationships/chart" Target="charts/chart1.xml"/><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footer" Target="footer6.xml"/><Relationship Id="rId1" Type="http://schemas.openxmlformats.org/officeDocument/2006/relationships/styles" Target="styles.xml"/></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6.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5.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6.xml.rels><?xml version="1.0" encoding="UTF-8" standalone="yes"?>
<Relationships xmlns="http://schemas.openxmlformats.org/package/2006/relationships"><Relationship Id="rId1" Type="http://schemas.openxmlformats.org/officeDocument/2006/relationships/package" Target="../embeddings/Workbook7.xlsx"/></Relationships>
</file>

<file path=word/charts/_rels/chart7.xml.rels><?xml version="1.0" encoding="UTF-8" standalone="yes"?>
<Relationships xmlns="http://schemas.openxmlformats.org/package/2006/relationships"><Relationship Id="rId1" Type="http://schemas.openxmlformats.org/officeDocument/2006/relationships/package" Target="../embeddings/Workbook2.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收、支决算总计变动情况图</a:t>
            </a:r>
            <a:r>
              <a:rPr sz="750"/>
              <a:t>单位：万元</a:t>
            </a:r>
            <a:endParaRPr sz="75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系列 1</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2021</c:v>
                </c:pt>
                <c:pt idx="1">
                  <c:v>2022</c:v>
                </c:pt>
                <c:pt idx="2">
                  <c:v>增减数</c:v>
                </c:pt>
              </c:strCache>
            </c:strRef>
          </c:cat>
          <c:val>
            <c:numRef>
              <c:f>Sheet1!$B$2:$B$4</c:f>
              <c:numCache>
                <c:formatCode>General</c:formatCode>
                <c:ptCount val="3"/>
                <c:pt idx="0">
                  <c:v>117.27</c:v>
                </c:pt>
                <c:pt idx="1">
                  <c:v>92.62</c:v>
                </c:pt>
                <c:pt idx="2">
                  <c:v>24.65</c:v>
                </c:pt>
              </c:numCache>
            </c:numRef>
          </c:val>
        </c:ser>
        <c:dLbls>
          <c:showLegendKey val="0"/>
          <c:showVal val="1"/>
          <c:showCatName val="0"/>
          <c:showSerName val="0"/>
          <c:showPercent val="0"/>
          <c:showBubbleSize val="0"/>
        </c:dLbls>
        <c:gapWidth val="219"/>
        <c:overlap val="-27"/>
        <c:axId val="178275456"/>
        <c:axId val="178276992"/>
      </c:barChart>
      <c:catAx>
        <c:axId val="17827545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8276992"/>
        <c:crosses val="autoZero"/>
        <c:auto val="1"/>
        <c:lblAlgn val="ctr"/>
        <c:lblOffset val="100"/>
        <c:noMultiLvlLbl val="0"/>
      </c:catAx>
      <c:valAx>
        <c:axId val="17827699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827545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收入决算结构图</a:t>
            </a:r>
            <a:r>
              <a:rPr sz="900"/>
              <a:t>单位：万元</a:t>
            </a:r>
            <a:endParaRPr sz="900"/>
          </a:p>
        </c:rich>
      </c:tx>
      <c:layout/>
      <c:overlay val="0"/>
      <c:spPr>
        <a:noFill/>
        <a:ln>
          <a:noFill/>
        </a:ln>
        <a:effectLst/>
      </c:spPr>
    </c:title>
    <c:autoTitleDeleted val="0"/>
    <c:plotArea>
      <c:layout/>
      <c:pieChart>
        <c:varyColors val="1"/>
        <c:ser>
          <c:idx val="0"/>
          <c:order val="0"/>
          <c:tx>
            <c:strRef>
              <c:f>Sheet1!$B$1</c:f>
              <c:strCache>
                <c:ptCount val="1"/>
                <c:pt idx="0">
                  <c:v>收入决算结构图</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92.62，</a:t>
                    </a:r>
                    <a:r>
                      <a:rPr lang="en-US" altLang="zh-CN"/>
                      <a:t>100%</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一般公共预算财政拨款收入</c:v>
                </c:pt>
              </c:strCache>
            </c:strRef>
          </c:cat>
          <c:val>
            <c:numRef>
              <c:f>Sheet1!$B$2</c:f>
              <c:numCache>
                <c:formatCode>General</c:formatCode>
                <c:ptCount val="1"/>
                <c:pt idx="0">
                  <c:v>92.62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支出决算结构图</a:t>
            </a:r>
            <a:r>
              <a:rPr sz="900"/>
              <a:t>单位：万元</a:t>
            </a:r>
            <a:endParaRPr sz="900"/>
          </a:p>
        </c:rich>
      </c:tx>
      <c:layout/>
      <c:overlay val="0"/>
      <c:spPr>
        <a:noFill/>
        <a:ln>
          <a:noFill/>
        </a:ln>
        <a:effectLst/>
      </c:spPr>
    </c:title>
    <c:autoTitleDeleted val="0"/>
    <c:plotArea>
      <c:layout/>
      <c:pieChart>
        <c:varyColors val="1"/>
        <c:ser>
          <c:idx val="0"/>
          <c:order val="0"/>
          <c:tx>
            <c:strRef>
              <c:f>Sheet1!$B$1</c:f>
              <c:strCache>
                <c:ptCount val="1"/>
                <c:pt idx="0">
                  <c:v>支出决算结构图</c:v>
                </c:pt>
              </c:strCache>
            </c:strRef>
          </c:tx>
          <c:explosion val="0"/>
          <c:dPt>
            <c:idx val="0"/>
            <c:bubble3D val="0"/>
            <c:spPr>
              <a:solidFill>
                <a:schemeClr val="accent1"/>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96.62，</a:t>
                    </a:r>
                    <a:r>
                      <a:rPr lang="en-US" altLang="zh-CN"/>
                      <a:t>100%</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c:f>
              <c:strCache>
                <c:ptCount val="1"/>
                <c:pt idx="0">
                  <c:v>基本支出</c:v>
                </c:pt>
              </c:strCache>
            </c:strRef>
          </c:cat>
          <c:val>
            <c:numRef>
              <c:f>Sheet1!$B$2</c:f>
              <c:numCache>
                <c:formatCode>General</c:formatCode>
                <c:ptCount val="1"/>
                <c:pt idx="0">
                  <c:v>96.62</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财政拨款收、支决算总计变动情况</a:t>
            </a:r>
            <a:r>
              <a:rPr sz="900"/>
              <a:t>单位：万元</a:t>
            </a:r>
            <a:endParaRPr sz="9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财政拨款收、支决算总计变动情况</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2021</c:v>
                </c:pt>
                <c:pt idx="1">
                  <c:v>2022</c:v>
                </c:pt>
                <c:pt idx="2">
                  <c:v>增减数</c:v>
                </c:pt>
              </c:strCache>
            </c:strRef>
          </c:cat>
          <c:val>
            <c:numRef>
              <c:f>Sheet1!$B$2:$B$4</c:f>
              <c:numCache>
                <c:formatCode>General</c:formatCode>
                <c:ptCount val="3"/>
                <c:pt idx="0">
                  <c:v>117.27</c:v>
                </c:pt>
                <c:pt idx="1">
                  <c:v>92.62</c:v>
                </c:pt>
                <c:pt idx="2">
                  <c:v>24.65</c:v>
                </c:pt>
              </c:numCache>
            </c:numRef>
          </c:val>
        </c:ser>
        <c:dLbls>
          <c:showLegendKey val="0"/>
          <c:showVal val="1"/>
          <c:showCatName val="0"/>
          <c:showSerName val="0"/>
          <c:showPercent val="0"/>
          <c:showBubbleSize val="0"/>
        </c:dLbls>
        <c:gapWidth val="219"/>
        <c:overlap val="-27"/>
        <c:axId val="178569216"/>
        <c:axId val="178570752"/>
      </c:barChart>
      <c:catAx>
        <c:axId val="17856921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8570752"/>
        <c:crosses val="autoZero"/>
        <c:auto val="1"/>
        <c:lblAlgn val="ctr"/>
        <c:lblOffset val="100"/>
        <c:noMultiLvlLbl val="0"/>
      </c:catAx>
      <c:valAx>
        <c:axId val="17857075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78569216"/>
        <c:crosses val="autoZero"/>
        <c:crossBetween val="between"/>
      </c:valAx>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rPr spc="-100">
                <a:solidFill>
                  <a:schemeClr val="tx1">
                    <a:lumMod val="65000"/>
                    <a:lumOff val="35000"/>
                  </a:schemeClr>
                </a:solidFill>
                <a:uFillTx/>
              </a:rPr>
              <a:t>一般公共预算财政拨款支出决算变动情况</a:t>
            </a:r>
            <a:r>
              <a:rPr sz="900"/>
              <a:t>单位：万元</a:t>
            </a:r>
            <a:endParaRPr sz="900"/>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一般公共预算财政拨款支出决算变动情况</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Sheet1!$A$2:$A$4</c:f>
              <c:strCache>
                <c:ptCount val="3"/>
                <c:pt idx="0">
                  <c:v>2021</c:v>
                </c:pt>
                <c:pt idx="1">
                  <c:v>2022</c:v>
                </c:pt>
                <c:pt idx="2">
                  <c:v>增减数</c:v>
                </c:pt>
              </c:strCache>
            </c:strRef>
          </c:cat>
          <c:val>
            <c:numRef>
              <c:f>Sheet1!$B$2:$B$4</c:f>
              <c:numCache>
                <c:formatCode>General</c:formatCode>
                <c:ptCount val="3"/>
                <c:pt idx="0">
                  <c:v>117.27</c:v>
                </c:pt>
                <c:pt idx="1">
                  <c:v>92.62</c:v>
                </c:pt>
                <c:pt idx="2">
                  <c:v>24.65</c:v>
                </c:pt>
              </c:numCache>
            </c:numRef>
          </c:val>
        </c:ser>
        <c:dLbls>
          <c:showLegendKey val="0"/>
          <c:showVal val="1"/>
          <c:showCatName val="0"/>
          <c:showSerName val="0"/>
          <c:showPercent val="0"/>
          <c:showBubbleSize val="0"/>
        </c:dLbls>
        <c:gapWidth val="219"/>
        <c:overlap val="-27"/>
        <c:axId val="186713216"/>
        <c:axId val="186714752"/>
      </c:barChart>
      <c:catAx>
        <c:axId val="186713216"/>
        <c:scaling>
          <c:orientation val="minMax"/>
        </c:scaling>
        <c:delete val="0"/>
        <c:axPos val="b"/>
        <c:majorTickMark val="none"/>
        <c:minorTickMark val="none"/>
        <c:tickLblPos val="nextTo"/>
        <c:spPr>
          <a:noFill/>
          <a:ln w="9525" cap="flat" cmpd="sng" algn="ctr">
            <a:solidFill>
              <a:schemeClr val="tx1">
                <a:lumMod val="15000"/>
                <a:lumOff val="85000"/>
              </a:schemeClr>
            </a:solid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6714752"/>
        <c:crosses val="autoZero"/>
        <c:auto val="1"/>
        <c:lblAlgn val="ctr"/>
        <c:lblOffset val="100"/>
        <c:noMultiLvlLbl val="0"/>
      </c:catAx>
      <c:valAx>
        <c:axId val="186714752"/>
        <c:scaling>
          <c:orientation val="minMax"/>
        </c:scaling>
        <c:delete val="0"/>
        <c:axPos val="l"/>
        <c:majorGridlines>
          <c:spPr>
            <a:ln w="9525" cap="flat" cmpd="sng" algn="ctr">
              <a:solidFill>
                <a:schemeClr val="tx1">
                  <a:lumMod val="15000"/>
                  <a:lumOff val="85000"/>
                </a:schemeClr>
              </a:solidFill>
              <a:prstDash val="solid"/>
              <a:round/>
            </a:ln>
            <a:effectLst/>
          </c:spPr>
        </c:majorGridlines>
        <c:numFmt formatCode="General" sourceLinked="1"/>
        <c:majorTickMark val="none"/>
        <c:minorTickMark val="none"/>
        <c:tickLblPos val="nextTo"/>
        <c:spPr>
          <a:noFill/>
          <a:ln w="9525" cap="flat" cmpd="sng" algn="ctr">
            <a:noFill/>
            <a:prstDash val="solid"/>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86713216"/>
        <c:crosses val="autoZero"/>
        <c:crossBetween val="between"/>
      </c:valAx>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一般公共预算财政拨款支出决算结构</a:t>
            </a:r>
            <a:r>
              <a:rPr lang="en-US" altLang="zh-CN"/>
              <a:t>    </a:t>
            </a:r>
            <a:r>
              <a:rPr sz="900"/>
              <a:t>单位：万元</a:t>
            </a:r>
            <a:endParaRPr sz="900"/>
          </a:p>
        </c:rich>
      </c:tx>
      <c:layout/>
      <c:overlay val="0"/>
      <c:spPr>
        <a:noFill/>
        <a:ln>
          <a:noFill/>
        </a:ln>
        <a:effectLst/>
      </c:spPr>
    </c:title>
    <c:autoTitleDeleted val="0"/>
    <c:plotArea>
      <c:layout/>
      <c:pieChart>
        <c:varyColors val="1"/>
        <c:ser>
          <c:idx val="0"/>
          <c:order val="0"/>
          <c:tx>
            <c:strRef>
              <c:f>Sheet1!$B$1</c:f>
              <c:strCache>
                <c:ptCount val="1"/>
                <c:pt idx="0">
                  <c:v>一般公共预算财政拨款支出决算结构</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32.8</a:t>
                    </a:r>
                    <a:r>
                      <a:rPr lang="en-US" altLang="zh-CN"/>
                      <a:t>0,35.41%</a:t>
                    </a:r>
                    <a:endParaRPr altLang="en-US"/>
                  </a:p>
                </c:rich>
              </c:tx>
              <c:dLblPos val="ctr"/>
              <c:showLegendKey val="0"/>
              <c:showVal val="1"/>
              <c:showCatName val="0"/>
              <c:showSerName val="0"/>
              <c:showPercent val="0"/>
              <c:showBubbleSize val="0"/>
              <c:extLst>
                <c:ext xmlns:c15="http://schemas.microsoft.com/office/drawing/2012/chart" uri="{CE6537A1-D6FC-4f65-9D91-7224C49458BB}"/>
              </c:extLst>
            </c:dLbl>
            <c:dLbl>
              <c:idx val="1"/>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20.91，</a:t>
                    </a:r>
                    <a:r>
                      <a:rPr lang="en-US" altLang="zh-CN"/>
                      <a:t>22.58%</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extLst>
            </c:dLbl>
            <c:dLbl>
              <c:idx val="2"/>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18.33，</a:t>
                    </a:r>
                    <a:r>
                      <a:rPr lang="en-US" altLang="zh-CN"/>
                      <a:t>19.79%</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extLst>
            </c:dLbl>
            <c:dLbl>
              <c:idx val="3"/>
              <c:layout/>
              <c:tx>
                <c:rich>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r>
                      <a:t>20.58，</a:t>
                    </a:r>
                    <a:r>
                      <a:rPr lang="en-US" altLang="zh-CN"/>
                      <a:t>22.22%</a:t>
                    </a:r>
                    <a:endParaRPr lang="en-US" altLang="zh-CN"/>
                  </a:p>
                </c:rich>
              </c:tx>
              <c:dLblPos val="ctr"/>
              <c:showLegendKey val="0"/>
              <c:showVal val="1"/>
              <c:showCatName val="0"/>
              <c:showSerName val="0"/>
              <c:showPercent val="0"/>
              <c:showBubbleSize val="0"/>
              <c:extLst>
                <c:ext xmlns:c15="http://schemas.microsoft.com/office/drawing/2012/chart" uri="{CE6537A1-D6FC-4f65-9D91-7224C49458BB}"/>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ctr"/>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一般公共服务支出</c:v>
                </c:pt>
                <c:pt idx="1">
                  <c:v>社会保障和就业支出</c:v>
                </c:pt>
                <c:pt idx="2">
                  <c:v>卫生健康支出</c:v>
                </c:pt>
                <c:pt idx="3">
                  <c:v>住房保障支出</c:v>
                </c:pt>
              </c:strCache>
            </c:strRef>
          </c:cat>
          <c:val>
            <c:numRef>
              <c:f>Sheet1!$B$2:$B$5</c:f>
              <c:numCache>
                <c:formatCode>@</c:formatCode>
                <c:ptCount val="4"/>
                <c:pt idx="0">
                  <c:v>32.8</c:v>
                </c:pt>
                <c:pt idx="1" c:formatCode="General">
                  <c:v>20.91</c:v>
                </c:pt>
                <c:pt idx="2" c:formatCode="General">
                  <c:v>18.33</c:v>
                </c:pt>
                <c:pt idx="3" c:formatCode="General">
                  <c:v>20.58</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spc="0" baseline="0">
                <a:solidFill>
                  <a:schemeClr val="tx1">
                    <a:lumMod val="65000"/>
                    <a:lumOff val="35000"/>
                  </a:schemeClr>
                </a:solidFill>
                <a:latin typeface="+mn-lt"/>
                <a:ea typeface="+mn-ea"/>
                <a:cs typeface="+mn-cs"/>
              </a:defRPr>
            </a:pPr>
            <a:r>
              <a:t>“三公”经费财政拨款支出结构</a:t>
            </a:r>
            <a:r>
              <a:rPr sz="900" spc="-100">
                <a:solidFill>
                  <a:schemeClr val="tx1">
                    <a:lumMod val="65000"/>
                    <a:lumOff val="35000"/>
                  </a:schemeClr>
                </a:solidFill>
                <a:uFillTx/>
              </a:rPr>
              <a:t>单位：万元</a:t>
            </a:r>
            <a:endParaRPr sz="900" spc="-100">
              <a:solidFill>
                <a:schemeClr val="tx1">
                  <a:lumMod val="65000"/>
                  <a:lumOff val="35000"/>
                </a:schemeClr>
              </a:solidFill>
              <a:uFillTx/>
            </a:endParaRPr>
          </a:p>
        </c:rich>
      </c:tx>
      <c:layout/>
      <c:overlay val="0"/>
      <c:spPr>
        <a:noFill/>
        <a:ln>
          <a:noFill/>
        </a:ln>
        <a:effectLst/>
      </c:spPr>
    </c:title>
    <c:autoTitleDeleted val="0"/>
    <c:plotArea>
      <c:layout/>
      <c:pieChart>
        <c:varyColors val="1"/>
        <c:ser>
          <c:idx val="0"/>
          <c:order val="0"/>
          <c:tx>
            <c:strRef>
              <c:f>Sheet1!$B$1</c:f>
              <c:strCache>
                <c:ptCount val="1"/>
                <c:pt idx="0">
                  <c:v>“三公”经费财政拨款支出结构</c:v>
                </c:pt>
              </c:strCache>
            </c:strRef>
          </c:tx>
          <c:explosion val="0"/>
          <c:dPt>
            <c:idx val="0"/>
            <c:bubble3D val="0"/>
            <c:spPr>
              <a:solidFill>
                <a:schemeClr val="accent1"/>
              </a:solidFill>
              <a:ln w="19050">
                <a:solidFill>
                  <a:schemeClr val="lt1"/>
                </a:solidFill>
              </a:ln>
              <a:effectLst/>
            </c:spPr>
          </c:dPt>
          <c:dPt>
            <c:idx val="1"/>
            <c:bubble3D val="0"/>
            <c:spPr>
              <a:solidFill>
                <a:schemeClr val="accent2"/>
              </a:solidFill>
              <a:ln w="19050">
                <a:solidFill>
                  <a:schemeClr val="lt1"/>
                </a:solidFill>
              </a:ln>
              <a:effectLst/>
            </c:spPr>
          </c:dPt>
          <c:dPt>
            <c:idx val="2"/>
            <c:bubble3D val="0"/>
            <c:spPr>
              <a:solidFill>
                <a:schemeClr val="accent3"/>
              </a:solidFill>
              <a:ln w="19050">
                <a:solidFill>
                  <a:schemeClr val="lt1"/>
                </a:solidFill>
              </a:ln>
              <a:effectLst/>
            </c:spPr>
          </c:dPt>
          <c:dPt>
            <c:idx val="3"/>
            <c:bubble3D val="0"/>
            <c:spPr>
              <a:solidFill>
                <a:schemeClr val="accent4"/>
              </a:solidFill>
              <a:ln w="19050">
                <a:solidFill>
                  <a:schemeClr val="lt1"/>
                </a:solidFill>
              </a:ln>
              <a:effectLst/>
            </c:spPr>
          </c:dPt>
          <c:dLbls>
            <c:dLbl>
              <c:idx val="0"/>
              <c:layout>
                <c:manualLayout>
                  <c:x val="-8.59638884594331e-7"/>
                  <c:y val="-0.189901650027536"/>
                </c:manualLayout>
              </c:layout>
              <c:tx>
                <c:rich>
                  <a:bodyPr rot="0" spcFirstLastPara="0" vertOverflow="ellipsis" vert="horz" wrap="square" lIns="38100" tIns="19050" rIns="38100" bIns="19050" anchor="ctr" anchorCtr="1"/>
                  <a:lstStyle/>
                  <a:p>
                    <a:pPr defTabSz="914400">
                      <a:defRPr lang="zh-CN" sz="900" b="0" i="0" u="none" strike="noStrike" kern="1200" baseline="0">
                        <a:solidFill>
                          <a:schemeClr val="tx1">
                            <a:lumMod val="75000"/>
                            <a:lumOff val="25000"/>
                          </a:schemeClr>
                        </a:solidFill>
                        <a:latin typeface="+mn-lt"/>
                        <a:ea typeface="+mn-ea"/>
                        <a:cs typeface="+mn-cs"/>
                      </a:defRPr>
                    </a:pPr>
                    <a:r>
                      <a:t>100</a:t>
                    </a:r>
                    <a:r>
                      <a:rPr lang="en-US" altLang="zh-CN"/>
                      <a:t>%</a:t>
                    </a:r>
                    <a:endParaRPr lang="en-US" altLang="zh-CN"/>
                  </a:p>
                </c:rich>
              </c:tx>
              <c:dLblPos val="bestFit"/>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900" b="0" i="0" u="none" strike="noStrike" kern="1200" baseline="0">
                    <a:solidFill>
                      <a:schemeClr val="tx1">
                        <a:lumMod val="75000"/>
                        <a:lumOff val="25000"/>
                      </a:schemeClr>
                    </a:solidFill>
                    <a:latin typeface="+mn-lt"/>
                    <a:ea typeface="+mn-ea"/>
                    <a:cs typeface="+mn-cs"/>
                  </a:defRPr>
                </a:pPr>
              </a:p>
            </c:txPr>
            <c:dLblPos val="bestFit"/>
            <c:showLegendKey val="0"/>
            <c:showVal val="1"/>
            <c:showCatName val="0"/>
            <c:showSerName val="0"/>
            <c:showPercent val="0"/>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prstDash val="solid"/>
                      <a:round/>
                    </a:ln>
                    <a:effectLst/>
                  </c:spPr>
                </c15:leaderLines>
              </c:ext>
            </c:extLst>
          </c:dLbls>
          <c:cat>
            <c:strRef>
              <c:f>Sheet1!$A$2:$A$5</c:f>
              <c:strCache>
                <c:ptCount val="4"/>
                <c:pt idx="0">
                  <c:v>无</c:v>
                </c:pt>
                <c:pt idx="1">
                  <c:v>因公出国（境）费支出</c:v>
                </c:pt>
                <c:pt idx="2">
                  <c:v>公务用车购置及运行维护费支出</c:v>
                </c:pt>
                <c:pt idx="3">
                  <c:v>公务接待费支出</c:v>
                </c:pt>
              </c:strCache>
            </c:strRef>
          </c:cat>
          <c:val>
            <c:numRef>
              <c:f>Sheet1!$B$2:$B$5</c:f>
              <c:numCache>
                <c:formatCode>General</c:formatCode>
                <c:ptCount val="4"/>
                <c:pt idx="0">
                  <c:v>100</c:v>
                </c:pt>
                <c:pt idx="1">
                  <c:v>0</c:v>
                </c:pt>
                <c:pt idx="2">
                  <c:v>0</c:v>
                </c:pt>
                <c:pt idx="3">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zero"/>
    <c:showDLblsOverMax val="0"/>
  </c:chart>
  <c:spPr>
    <a:solidFill>
      <a:schemeClr val="bg1"/>
    </a:solidFill>
    <a:ln w="9525" cap="flat" cmpd="sng" algn="ctr">
      <a:solidFill>
        <a:schemeClr val="tx1">
          <a:lumMod val="15000"/>
          <a:lumOff val="85000"/>
        </a:schemeClr>
      </a:solidFill>
      <a:prstDash val="solid"/>
      <a:round/>
    </a:ln>
    <a:effectLst/>
  </c:spPr>
  <c:txPr>
    <a:bodyPr/>
    <a:lstStyle/>
    <a:p>
      <a:pPr>
        <a:defRPr lang="zh-CN"/>
      </a:pPr>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31" textRotate="1"/>
    <customShpInfo spid="_x0000_s1026"/>
    <customShpInfo spid="_x0000_s1032" textRotate="1"/>
    <customShpInfo spid="_x0000_s1027"/>
    <customShpInfo spid="_x0000_s1028"/>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四川省财政厅</Company>
  <Pages>17</Pages>
  <Words>4465</Words>
  <Characters>4793</Characters>
  <Lines>47</Lines>
  <Paragraphs>13</Paragraphs>
  <TotalTime>62</TotalTime>
  <ScaleCrop>false</ScaleCrop>
  <LinksUpToDate>false</LinksUpToDate>
  <CharactersWithSpaces>4903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2020-08-05T01:49:00Z</dcterms:created>
  <dc:creator>曹颖</dc:creator>
  <cp:lastModifiedBy>李钊</cp:lastModifiedBy>
  <cp:lastPrinted>2023-08-30T06:33:00Z</cp:lastPrinted>
  <dcterms:modified xsi:type="dcterms:W3CDTF">2023-08-31T03:17:33Z</dcterms:modified>
  <dc:title>四川省***</dc:title>
  <cp:revision>34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014AADD347C04530B6C2BB3E87F8569C_12</vt:lpwstr>
  </property>
</Properties>
</file>